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3EBDA" w:themeColor="accent5" w:themeTint="33"/>
  <w:body>
    <w:p w14:paraId="2F7B55D0" w14:textId="7CE9F47F" w:rsidR="00A55C77" w:rsidRDefault="001B7706" w:rsidP="00E62735">
      <w:pPr>
        <w:pStyle w:val="Title"/>
      </w:pPr>
      <w:r>
        <w:t>Port Honduras Marine Reserve:</w:t>
      </w:r>
      <w:r w:rsidR="003B40E6">
        <w:t xml:space="preserve"> </w:t>
      </w:r>
    </w:p>
    <w:p w14:paraId="50BD08CA" w14:textId="4F83EBFB" w:rsidR="001B7706" w:rsidRPr="001B7706" w:rsidRDefault="003B40E6" w:rsidP="00E62735">
      <w:pPr>
        <w:pStyle w:val="Title"/>
      </w:pPr>
      <w:r>
        <w:t xml:space="preserve">2021 </w:t>
      </w:r>
      <w:r w:rsidR="00A55C77">
        <w:t>Queen Conch (</w:t>
      </w:r>
      <w:proofErr w:type="spellStart"/>
      <w:r w:rsidR="00A55C77">
        <w:t>Aliger</w:t>
      </w:r>
      <w:proofErr w:type="spellEnd"/>
      <w:r w:rsidR="00A55C77">
        <w:t xml:space="preserve"> gigas)</w:t>
      </w:r>
      <w:r w:rsidR="001B7706">
        <w:t xml:space="preserve"> Report</w:t>
      </w:r>
    </w:p>
    <w:p w14:paraId="4B6C485E" w14:textId="3665F458" w:rsidR="00972F16" w:rsidRDefault="00972F16" w:rsidP="00947C63">
      <w:pPr>
        <w:spacing w:line="276" w:lineRule="auto"/>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5BB7B4" w14:textId="59A31ECC" w:rsidR="003E2A2C" w:rsidRDefault="003E2A2C" w:rsidP="00947C63">
      <w:pPr>
        <w:spacing w:line="276" w:lineRule="auto"/>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E170F8" w14:textId="20B7C1CC" w:rsidR="003E2A2C" w:rsidRDefault="003E2A2C" w:rsidP="00947C63">
      <w:pPr>
        <w:spacing w:line="276" w:lineRule="auto"/>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927192" w14:textId="411BCC4D" w:rsidR="003E2A2C" w:rsidRDefault="003E2A2C" w:rsidP="00947C63">
      <w:pPr>
        <w:spacing w:line="276" w:lineRule="auto"/>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796CC7" w14:textId="674F0115" w:rsidR="003E2A2C" w:rsidRDefault="003E2A2C" w:rsidP="00947C63">
      <w:pPr>
        <w:spacing w:line="276" w:lineRule="auto"/>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E966F5" w14:textId="77777777" w:rsidR="003E2A2C" w:rsidRDefault="003E2A2C" w:rsidP="00947C63">
      <w:pPr>
        <w:spacing w:line="276" w:lineRule="auto"/>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EC7C33" w14:textId="67D8A2C9" w:rsidR="00972F16" w:rsidRDefault="00972F16" w:rsidP="003B40E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3D3508" w14:textId="14212747" w:rsidR="001B7706" w:rsidRDefault="001B7706" w:rsidP="003B40E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Prepared for</w:t>
      </w:r>
    </w:p>
    <w:p w14:paraId="4A037A85" w14:textId="77777777" w:rsidR="001B7706" w:rsidRPr="00F72CC6" w:rsidRDefault="001B7706" w:rsidP="001B7706">
      <w:pPr>
        <w:spacing w:line="276" w:lineRule="auto"/>
        <w:jc w:val="center"/>
      </w:pPr>
      <w:r w:rsidRPr="00F72CC6">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Toledo Institute for Development and Environment</w:t>
      </w:r>
    </w:p>
    <w:p w14:paraId="0C297469" w14:textId="77777777" w:rsidR="001B7706" w:rsidRPr="00F72CC6" w:rsidRDefault="001B7706" w:rsidP="001B770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2CC6">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Mile San Antonio Road</w:t>
      </w:r>
    </w:p>
    <w:p w14:paraId="2D638A06" w14:textId="6DD518CC" w:rsidR="001B7706" w:rsidRDefault="001B7706" w:rsidP="001B770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2CC6">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Punta </w:t>
      </w:r>
      <w:proofErr w:type="spellStart"/>
      <w:r w:rsidRPr="00F72CC6">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Gorda</w:t>
      </w:r>
      <w:proofErr w:type="spellEnd"/>
      <w:r w:rsidRPr="00F72CC6">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Town, </w:t>
      </w:r>
      <w: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Toledo</w:t>
      </w:r>
    </w:p>
    <w:p w14:paraId="232541B2" w14:textId="77777777" w:rsidR="00947C63" w:rsidRPr="00F72CC6" w:rsidRDefault="00947C63" w:rsidP="001B770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A3187C" w14:textId="39F918AC" w:rsidR="001B7706" w:rsidRDefault="00972F16" w:rsidP="001B770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49024" behindDoc="1" locked="0" layoutInCell="1" allowOverlap="1" wp14:anchorId="51315CD5" wp14:editId="3BE07A0D">
            <wp:simplePos x="0" y="0"/>
            <wp:positionH relativeFrom="column">
              <wp:posOffset>2438700</wp:posOffset>
            </wp:positionH>
            <wp:positionV relativeFrom="paragraph">
              <wp:posOffset>146685</wp:posOffset>
            </wp:positionV>
            <wp:extent cx="1227667" cy="1351863"/>
            <wp:effectExtent l="0" t="0" r="4445" b="0"/>
            <wp:wrapNone/>
            <wp:docPr id="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3"/>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227667" cy="13518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0573D" w14:textId="2B31FBAE" w:rsidR="001B7706" w:rsidRDefault="001B7706" w:rsidP="003B40E6">
      <w:pPr>
        <w:spacing w:line="276" w:lineRule="auto"/>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C5A763" w14:textId="4A25985D" w:rsidR="00972F16" w:rsidRDefault="00972F16" w:rsidP="001B770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670349" w14:textId="0D57571E" w:rsidR="00972F16" w:rsidRDefault="00972F16" w:rsidP="001B770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D32C95" w14:textId="0DE6596A" w:rsidR="00972F16" w:rsidRDefault="00972F16" w:rsidP="001B770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E25656" w14:textId="77777777" w:rsidR="00972F16" w:rsidRDefault="00972F16" w:rsidP="00972F16">
      <w:pPr>
        <w:spacing w:line="276" w:lineRule="auto"/>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744318" w14:textId="1481E3E0" w:rsidR="003B40E6" w:rsidRDefault="0090156D" w:rsidP="00972F1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w:t>
      </w:r>
      <w:r w:rsidR="001B7706">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p w14:paraId="5ED89278" w14:textId="77777777" w:rsidR="00A55C77" w:rsidRDefault="00A55C77" w:rsidP="00972F16">
      <w:pPr>
        <w:spacing w:line="276" w:lineRule="auto"/>
        <w:jc w:val="center"/>
      </w:pPr>
    </w:p>
    <w:p w14:paraId="56E82746" w14:textId="77777777" w:rsidR="00A55C77" w:rsidRDefault="00A55C77" w:rsidP="003E2A2C">
      <w:pPr>
        <w:spacing w:line="276" w:lineRule="auto"/>
      </w:pPr>
    </w:p>
    <w:p w14:paraId="4D43C33E" w14:textId="77777777" w:rsidR="00A55C77" w:rsidRDefault="00A55C77" w:rsidP="003E2A2C">
      <w:pPr>
        <w:spacing w:line="276" w:lineRule="auto"/>
        <w:ind w:firstLine="0"/>
      </w:pPr>
    </w:p>
    <w:p w14:paraId="6E4181D1" w14:textId="2EF01CCD" w:rsidR="003B40E6" w:rsidRDefault="003B40E6" w:rsidP="003E2A2C">
      <w:pPr>
        <w:spacing w:line="276" w:lineRule="auto"/>
        <w:jc w:val="center"/>
      </w:pPr>
      <w:r>
        <w:t>Funded by</w:t>
      </w:r>
    </w:p>
    <w:p w14:paraId="6AD10322" w14:textId="4C8DB612" w:rsidR="00A55C77" w:rsidRDefault="003E2A2C">
      <w:pPr>
        <w:rPr>
          <w:rFonts w:ascii="Bangla MN" w:hAnsi="Bangla MN" w:cs="Bangla MN"/>
          <w:b/>
          <w:bCs/>
          <w:sz w:val="28"/>
          <w:szCs w:val="28"/>
        </w:rPr>
      </w:pPr>
      <w:r w:rsidRPr="00D749E7">
        <w:rPr>
          <w:rFonts w:cstheme="minorHAnsi"/>
          <w:noProof/>
        </w:rPr>
        <w:drawing>
          <wp:anchor distT="0" distB="0" distL="114300" distR="114300" simplePos="0" relativeHeight="251651072" behindDoc="1" locked="0" layoutInCell="1" allowOverlap="1" wp14:anchorId="4F46BDC8" wp14:editId="2DB70D41">
            <wp:simplePos x="0" y="0"/>
            <wp:positionH relativeFrom="column">
              <wp:posOffset>2364332</wp:posOffset>
            </wp:positionH>
            <wp:positionV relativeFrom="page">
              <wp:posOffset>8699105</wp:posOffset>
            </wp:positionV>
            <wp:extent cx="1501775" cy="469900"/>
            <wp:effectExtent l="0" t="0" r="0" b="0"/>
            <wp:wrapNone/>
            <wp:docPr id="7" name="Picture 7" descr="PACT – PACT: Protected Areas Conserv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CT – PACT: Protected Areas Conservation Tru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1775" cy="46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45E97" w14:textId="010891AF" w:rsidR="00C30CDA" w:rsidRPr="00591983" w:rsidRDefault="00591983" w:rsidP="00A55C77">
      <w:pPr>
        <w:ind w:firstLine="0"/>
        <w:rPr>
          <w:rFonts w:ascii="Bangla MN" w:hAnsi="Bangla MN" w:cs="Bangla MN"/>
          <w:b/>
          <w:bCs/>
          <w:sz w:val="28"/>
          <w:szCs w:val="28"/>
        </w:rPr>
      </w:pPr>
      <w:r w:rsidRPr="00591983">
        <w:rPr>
          <w:rFonts w:ascii="Bangla MN" w:hAnsi="Bangla MN" w:cs="Bangla MN"/>
          <w:b/>
          <w:bCs/>
          <w:sz w:val="28"/>
          <w:szCs w:val="28"/>
        </w:rPr>
        <w:lastRenderedPageBreak/>
        <w:t>Introduction</w:t>
      </w:r>
    </w:p>
    <w:p w14:paraId="3E6C1ECD" w14:textId="2E40A114" w:rsidR="00591983" w:rsidRPr="00591983" w:rsidRDefault="00987F0D" w:rsidP="00591983">
      <w:pPr>
        <w:spacing w:line="276" w:lineRule="auto"/>
        <w:jc w:val="both"/>
        <w:rPr>
          <w:rFonts w:ascii="Avenir Book" w:hAnsi="Avenir Book"/>
        </w:rPr>
      </w:pPr>
      <w:r w:rsidRPr="00E57730">
        <w:rPr>
          <w:rFonts w:ascii="Avenir Book" w:hAnsi="Avenir Book"/>
        </w:rPr>
        <w:t>Queen conch</w:t>
      </w:r>
      <w:r w:rsidR="00A17D34" w:rsidRPr="00E57730">
        <w:rPr>
          <w:rFonts w:ascii="Avenir Book" w:hAnsi="Avenir Book"/>
        </w:rPr>
        <w:t xml:space="preserve"> (</w:t>
      </w:r>
      <w:proofErr w:type="spellStart"/>
      <w:r w:rsidRPr="00E57730">
        <w:rPr>
          <w:rFonts w:ascii="Avenir Book" w:hAnsi="Avenir Book"/>
          <w:i/>
          <w:iCs/>
        </w:rPr>
        <w:t>Aliger</w:t>
      </w:r>
      <w:proofErr w:type="spellEnd"/>
      <w:r w:rsidRPr="00E57730">
        <w:rPr>
          <w:rFonts w:ascii="Avenir Book" w:hAnsi="Avenir Book"/>
          <w:i/>
          <w:iCs/>
        </w:rPr>
        <w:t xml:space="preserve"> gigas</w:t>
      </w:r>
      <w:r w:rsidR="00A17D34" w:rsidRPr="00E57730">
        <w:rPr>
          <w:rFonts w:ascii="Avenir Book" w:hAnsi="Avenir Book"/>
        </w:rPr>
        <w:t xml:space="preserve">) is </w:t>
      </w:r>
      <w:r w:rsidR="00CA4446" w:rsidRPr="00E57730">
        <w:rPr>
          <w:rFonts w:ascii="Avenir Book" w:hAnsi="Avenir Book"/>
        </w:rPr>
        <w:t>a</w:t>
      </w:r>
      <w:r w:rsidRPr="00E57730">
        <w:rPr>
          <w:rFonts w:ascii="Avenir Book" w:hAnsi="Avenir Book"/>
        </w:rPr>
        <w:t xml:space="preserve">nother </w:t>
      </w:r>
      <w:r w:rsidR="00CA4446" w:rsidRPr="00E57730">
        <w:rPr>
          <w:rFonts w:ascii="Avenir Book" w:hAnsi="Avenir Book"/>
        </w:rPr>
        <w:t xml:space="preserve">commercially important species fished within the Port Honduras Marine Reserve (PHMR). The populations of the </w:t>
      </w:r>
      <w:r w:rsidRPr="00E57730">
        <w:rPr>
          <w:rFonts w:ascii="Avenir Book" w:hAnsi="Avenir Book"/>
        </w:rPr>
        <w:t>queen conch</w:t>
      </w:r>
      <w:r w:rsidR="00CA4446" w:rsidRPr="00E57730">
        <w:rPr>
          <w:rFonts w:ascii="Avenir Book" w:hAnsi="Avenir Book"/>
        </w:rPr>
        <w:t xml:space="preserve"> within the PHMR </w:t>
      </w:r>
      <w:r w:rsidR="00396A5A" w:rsidRPr="00E57730">
        <w:rPr>
          <w:rFonts w:ascii="Avenir Book" w:hAnsi="Avenir Book"/>
        </w:rPr>
        <w:t>are</w:t>
      </w:r>
      <w:r w:rsidR="00CA4446" w:rsidRPr="00E57730">
        <w:rPr>
          <w:rFonts w:ascii="Avenir Book" w:hAnsi="Avenir Book"/>
        </w:rPr>
        <w:t xml:space="preserve"> monitored annually through fishery independent surveys </w:t>
      </w:r>
      <w:r w:rsidR="00A17D34" w:rsidRPr="00E57730">
        <w:rPr>
          <w:rFonts w:ascii="Avenir Book" w:hAnsi="Avenir Book"/>
        </w:rPr>
        <w:t xml:space="preserve">collected under the LAMP protocol in the </w:t>
      </w:r>
      <w:r w:rsidR="00591983" w:rsidRPr="00E57730">
        <w:rPr>
          <w:rFonts w:ascii="Avenir Book" w:hAnsi="Avenir Book"/>
        </w:rPr>
        <w:t>PHMR</w:t>
      </w:r>
      <w:r w:rsidR="00CA4446" w:rsidRPr="00E57730">
        <w:rPr>
          <w:rFonts w:ascii="Avenir Book" w:hAnsi="Avenir Book"/>
        </w:rPr>
        <w:t>,</w:t>
      </w:r>
      <w:r w:rsidR="00A17D34" w:rsidRPr="00E57730">
        <w:rPr>
          <w:rFonts w:ascii="Avenir Book" w:hAnsi="Avenir Book"/>
        </w:rPr>
        <w:t xml:space="preserve"> in southern Belize.</w:t>
      </w:r>
      <w:r w:rsidR="00591983" w:rsidRPr="00E57730">
        <w:rPr>
          <w:rFonts w:ascii="Avenir Book" w:hAnsi="Avenir Book"/>
        </w:rPr>
        <w:t xml:space="preserve"> This marine protected area was established in 2000 with an area of 40,468 Ha and co-managed by the T</w:t>
      </w:r>
      <w:r w:rsidR="00591983" w:rsidRPr="00591983">
        <w:rPr>
          <w:rFonts w:ascii="Avenir Book" w:hAnsi="Avenir Book"/>
        </w:rPr>
        <w:t xml:space="preserve">oledo Institute for Development and Environment (TIDE). The PHMR includes a range of ecosystems from coastal wetlands to mid lagoonal reefs (a unique reef type along the Belize Barrier Reef). It also contains extensive seagrass beds and surrounds over 100 mangrove </w:t>
      </w:r>
      <w:proofErr w:type="spellStart"/>
      <w:r w:rsidR="00591983" w:rsidRPr="00591983">
        <w:rPr>
          <w:rFonts w:ascii="Avenir Book" w:hAnsi="Avenir Book"/>
        </w:rPr>
        <w:t>cayes</w:t>
      </w:r>
      <w:proofErr w:type="spellEnd"/>
      <w:r w:rsidR="00591983" w:rsidRPr="00591983">
        <w:rPr>
          <w:rFonts w:ascii="Avenir Book" w:hAnsi="Avenir Book"/>
        </w:rPr>
        <w:t xml:space="preserve"> (</w:t>
      </w:r>
      <w:proofErr w:type="spellStart"/>
      <w:r w:rsidR="00591983" w:rsidRPr="00591983">
        <w:rPr>
          <w:rFonts w:ascii="Avenir Book" w:hAnsi="Avenir Book"/>
        </w:rPr>
        <w:t>Wildtracks</w:t>
      </w:r>
      <w:proofErr w:type="spellEnd"/>
      <w:r w:rsidR="00591983" w:rsidRPr="00591983">
        <w:rPr>
          <w:rFonts w:ascii="Avenir Book" w:hAnsi="Avenir Book"/>
        </w:rPr>
        <w:t xml:space="preserve"> 2017). It supports important artisanal commercial fisheries for spiny lobster and queen conch</w:t>
      </w:r>
      <w:r w:rsidR="00A17D34">
        <w:rPr>
          <w:rFonts w:ascii="Avenir Book" w:hAnsi="Avenir Book"/>
        </w:rPr>
        <w:t xml:space="preserve"> and </w:t>
      </w:r>
      <w:r w:rsidR="00591983" w:rsidRPr="00591983">
        <w:rPr>
          <w:rFonts w:ascii="Avenir Book" w:hAnsi="Avenir Book"/>
        </w:rPr>
        <w:t xml:space="preserve">serves as an important buffer between the southern mainland and the main barrier reef. </w:t>
      </w:r>
    </w:p>
    <w:p w14:paraId="54E67DB5" w14:textId="77777777" w:rsidR="00591983" w:rsidRPr="00591983" w:rsidRDefault="00591983" w:rsidP="00591983">
      <w:pPr>
        <w:spacing w:line="276" w:lineRule="auto"/>
        <w:jc w:val="both"/>
        <w:rPr>
          <w:rFonts w:ascii="Avenir Book" w:hAnsi="Avenir Book"/>
        </w:rPr>
      </w:pPr>
    </w:p>
    <w:p w14:paraId="3E33784E" w14:textId="1D201260" w:rsidR="00591983" w:rsidRDefault="00591983" w:rsidP="00591983">
      <w:pPr>
        <w:spacing w:line="276" w:lineRule="auto"/>
        <w:jc w:val="both"/>
        <w:rPr>
          <w:rFonts w:ascii="Avenir Book" w:hAnsi="Avenir Book"/>
        </w:rPr>
      </w:pPr>
      <w:r w:rsidRPr="00591983">
        <w:rPr>
          <w:rFonts w:ascii="Avenir Book" w:hAnsi="Avenir Book"/>
        </w:rPr>
        <w:t xml:space="preserve">The focus of the </w:t>
      </w:r>
      <w:r w:rsidR="00A17D34">
        <w:rPr>
          <w:rFonts w:ascii="Avenir Book" w:hAnsi="Avenir Book"/>
        </w:rPr>
        <w:t>PHMR</w:t>
      </w:r>
      <w:r w:rsidRPr="00591983">
        <w:rPr>
          <w:rFonts w:ascii="Avenir Book" w:hAnsi="Avenir Book"/>
        </w:rPr>
        <w:t xml:space="preserve"> is fisheries management with the majority of this marine reserve </w:t>
      </w:r>
      <w:r w:rsidR="00A17D34">
        <w:rPr>
          <w:rFonts w:ascii="Avenir Book" w:hAnsi="Avenir Book"/>
        </w:rPr>
        <w:t xml:space="preserve">as </w:t>
      </w:r>
      <w:r w:rsidRPr="00591983">
        <w:rPr>
          <w:rFonts w:ascii="Avenir Book" w:hAnsi="Avenir Book"/>
        </w:rPr>
        <w:t>a general use zone (95%) open to fishing. Four</w:t>
      </w:r>
      <w:r w:rsidR="00E5445E">
        <w:rPr>
          <w:rFonts w:ascii="Avenir Book" w:hAnsi="Avenir Book"/>
        </w:rPr>
        <w:t xml:space="preserve"> </w:t>
      </w:r>
      <w:r w:rsidRPr="00591983">
        <w:rPr>
          <w:rFonts w:ascii="Avenir Book" w:hAnsi="Avenir Book"/>
        </w:rPr>
        <w:t xml:space="preserve">replenishment or no-take zones are designated (4%) around West, East and South Snake </w:t>
      </w:r>
      <w:proofErr w:type="spellStart"/>
      <w:r w:rsidRPr="00591983">
        <w:rPr>
          <w:rFonts w:ascii="Avenir Book" w:hAnsi="Avenir Book"/>
        </w:rPr>
        <w:t>Cayes</w:t>
      </w:r>
      <w:proofErr w:type="spellEnd"/>
      <w:r w:rsidRPr="00591983">
        <w:rPr>
          <w:rFonts w:ascii="Avenir Book" w:hAnsi="Avenir Book"/>
        </w:rPr>
        <w:t xml:space="preserve"> and West Cane </w:t>
      </w:r>
      <w:proofErr w:type="spellStart"/>
      <w:r w:rsidRPr="00591983">
        <w:rPr>
          <w:rFonts w:ascii="Avenir Book" w:hAnsi="Avenir Book"/>
        </w:rPr>
        <w:t>Cayes</w:t>
      </w:r>
      <w:proofErr w:type="spellEnd"/>
      <w:r w:rsidRPr="00591983">
        <w:rPr>
          <w:rFonts w:ascii="Avenir Book" w:hAnsi="Avenir Book"/>
        </w:rPr>
        <w:t xml:space="preserve">, where non-extractive recreational activities are allowed. There is a preservation zone (1%), 0.8 km radius around Middle Snake </w:t>
      </w:r>
      <w:proofErr w:type="spellStart"/>
      <w:r w:rsidRPr="00591983">
        <w:rPr>
          <w:rFonts w:ascii="Avenir Book" w:hAnsi="Avenir Book"/>
        </w:rPr>
        <w:t>Cayes</w:t>
      </w:r>
      <w:proofErr w:type="spellEnd"/>
      <w:r w:rsidRPr="00591983">
        <w:rPr>
          <w:rFonts w:ascii="Avenir Book" w:hAnsi="Avenir Book"/>
        </w:rPr>
        <w:t>, where only research activities are allowed (Figure 1) (</w:t>
      </w:r>
      <w:proofErr w:type="spellStart"/>
      <w:r w:rsidRPr="00591983">
        <w:rPr>
          <w:rFonts w:ascii="Avenir Book" w:hAnsi="Avenir Book"/>
        </w:rPr>
        <w:t>Wildtracks</w:t>
      </w:r>
      <w:proofErr w:type="spellEnd"/>
      <w:r w:rsidRPr="00591983">
        <w:rPr>
          <w:rFonts w:ascii="Avenir Book" w:hAnsi="Avenir Book"/>
        </w:rPr>
        <w:t xml:space="preserve"> 2017). </w:t>
      </w:r>
    </w:p>
    <w:p w14:paraId="5BEA0561" w14:textId="10E59EEC" w:rsidR="00591983" w:rsidRDefault="00591983" w:rsidP="00591983">
      <w:pPr>
        <w:spacing w:line="276" w:lineRule="auto"/>
        <w:jc w:val="both"/>
        <w:rPr>
          <w:rFonts w:ascii="Avenir Book" w:hAnsi="Avenir Book"/>
        </w:rPr>
      </w:pPr>
    </w:p>
    <w:p w14:paraId="650FC7DE" w14:textId="4EB7D13D" w:rsidR="00E5445E" w:rsidRPr="00396A5A" w:rsidRDefault="00A17D34" w:rsidP="00591983">
      <w:pPr>
        <w:spacing w:line="276" w:lineRule="auto"/>
        <w:jc w:val="both"/>
        <w:rPr>
          <w:rFonts w:ascii="Avenir Book" w:hAnsi="Avenir Book"/>
        </w:rPr>
      </w:pPr>
      <w:r>
        <w:rPr>
          <w:rFonts w:ascii="Avenir Book" w:hAnsi="Avenir Book"/>
        </w:rPr>
        <w:t xml:space="preserve">This report presents data collected in 2021 towards evaluating the </w:t>
      </w:r>
      <w:r w:rsidR="00591983" w:rsidRPr="00591983">
        <w:rPr>
          <w:rFonts w:ascii="Avenir Book" w:hAnsi="Avenir Book"/>
        </w:rPr>
        <w:t>management goa</w:t>
      </w:r>
      <w:r>
        <w:rPr>
          <w:rFonts w:ascii="Avenir Book" w:hAnsi="Avenir Book"/>
        </w:rPr>
        <w:t>l “</w:t>
      </w:r>
      <w:r w:rsidRPr="00A17D34">
        <w:rPr>
          <w:rFonts w:ascii="Avenir Book" w:hAnsi="Avenir Book"/>
          <w:i/>
          <w:iCs/>
        </w:rPr>
        <w:t xml:space="preserve">to </w:t>
      </w:r>
      <w:r w:rsidR="00591983" w:rsidRPr="00A17D34">
        <w:rPr>
          <w:rFonts w:ascii="Avenir Book" w:hAnsi="Avenir Book"/>
          <w:i/>
          <w:iCs/>
        </w:rPr>
        <w:t>return the abundance of commercial fishing species to sustainable levels by reducing pressure</w:t>
      </w:r>
      <w:r>
        <w:rPr>
          <w:rFonts w:ascii="Avenir Book" w:hAnsi="Avenir Book"/>
          <w:i/>
          <w:iCs/>
        </w:rPr>
        <w:t>”</w:t>
      </w:r>
      <w:r w:rsidR="00591983" w:rsidRPr="00591983">
        <w:rPr>
          <w:rFonts w:ascii="Avenir Book" w:hAnsi="Avenir Book"/>
        </w:rPr>
        <w:t xml:space="preserve">. The primary conservation target </w:t>
      </w:r>
      <w:r>
        <w:rPr>
          <w:rFonts w:ascii="Avenir Book" w:hAnsi="Avenir Book"/>
        </w:rPr>
        <w:t>outlined in the current Management Plan for the PHMR,</w:t>
      </w:r>
      <w:r w:rsidR="00591983" w:rsidRPr="00591983">
        <w:rPr>
          <w:rFonts w:ascii="Avenir Book" w:hAnsi="Avenir Book"/>
        </w:rPr>
        <w:t xml:space="preserve"> is that by 2020</w:t>
      </w:r>
      <w:r>
        <w:rPr>
          <w:rFonts w:ascii="Avenir Book" w:hAnsi="Avenir Book"/>
        </w:rPr>
        <w:t xml:space="preserve"> the</w:t>
      </w:r>
      <w:r w:rsidR="00591983" w:rsidRPr="00591983">
        <w:rPr>
          <w:rFonts w:ascii="Avenir Book" w:hAnsi="Avenir Book"/>
        </w:rPr>
        <w:t xml:space="preserve"> Fisheries Department and TIDE will identify and improve at least three responsible and effective fishing techniques in collaboration with PHMR fishers. </w:t>
      </w:r>
      <w:r>
        <w:rPr>
          <w:rFonts w:ascii="Avenir Book" w:hAnsi="Avenir Book"/>
        </w:rPr>
        <w:t>The data from this report is intended to inform management of this nationally important fishery.</w:t>
      </w:r>
      <w:r w:rsidR="00E5445E" w:rsidRPr="00E5445E">
        <w:rPr>
          <w:rFonts w:ascii="Georgia" w:hAnsi="Georgia"/>
          <w:noProof/>
        </w:rPr>
        <w:t xml:space="preserve"> </w:t>
      </w:r>
      <w:r w:rsidR="00824522">
        <w:rPr>
          <w:rFonts w:ascii="Georgia" w:hAnsi="Georgia"/>
          <w:noProof/>
        </w:rPr>
        <w:tab/>
      </w:r>
      <w:r w:rsidR="00824522">
        <w:rPr>
          <w:rFonts w:ascii="Georgia" w:hAnsi="Georgia"/>
          <w:noProof/>
        </w:rPr>
        <w:tab/>
      </w:r>
      <w:r w:rsidR="00824522">
        <w:rPr>
          <w:rFonts w:ascii="Georgia" w:hAnsi="Georgia"/>
          <w:noProof/>
        </w:rPr>
        <w:tab/>
      </w:r>
    </w:p>
    <w:p w14:paraId="21F5F7FF" w14:textId="726DA1B2" w:rsidR="00824522" w:rsidRDefault="00025214" w:rsidP="001E258D">
      <w:pPr>
        <w:spacing w:line="276" w:lineRule="auto"/>
        <w:jc w:val="both"/>
        <w:rPr>
          <w:rFonts w:ascii="Bangla MN" w:hAnsi="Bangla MN" w:cs="Bangla MN"/>
          <w:b/>
          <w:bCs/>
          <w:sz w:val="28"/>
          <w:szCs w:val="28"/>
        </w:rPr>
      </w:pPr>
      <w:r w:rsidRPr="006B66C6">
        <w:rPr>
          <w:rFonts w:ascii="Georgia" w:hAnsi="Georgia"/>
          <w:noProof/>
        </w:rPr>
        <w:drawing>
          <wp:anchor distT="0" distB="0" distL="114300" distR="114300" simplePos="0" relativeHeight="251678720" behindDoc="0" locked="0" layoutInCell="1" allowOverlap="1" wp14:anchorId="2D31E144" wp14:editId="628449DB">
            <wp:simplePos x="0" y="0"/>
            <wp:positionH relativeFrom="column">
              <wp:posOffset>10095</wp:posOffset>
            </wp:positionH>
            <wp:positionV relativeFrom="paragraph">
              <wp:posOffset>31115</wp:posOffset>
            </wp:positionV>
            <wp:extent cx="3447415" cy="26676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47415" cy="2667635"/>
                    </a:xfrm>
                    <a:prstGeom prst="rect">
                      <a:avLst/>
                    </a:prstGeom>
                  </pic:spPr>
                </pic:pic>
              </a:graphicData>
            </a:graphic>
            <wp14:sizeRelH relativeFrom="page">
              <wp14:pctWidth>0</wp14:pctWidth>
            </wp14:sizeRelH>
            <wp14:sizeRelV relativeFrom="page">
              <wp14:pctHeight>0</wp14:pctHeight>
            </wp14:sizeRelV>
          </wp:anchor>
        </w:drawing>
      </w:r>
    </w:p>
    <w:p w14:paraId="16E86E26" w14:textId="109CD9EC" w:rsidR="00824522" w:rsidRDefault="00824522" w:rsidP="001E258D">
      <w:pPr>
        <w:spacing w:line="276" w:lineRule="auto"/>
        <w:jc w:val="both"/>
        <w:rPr>
          <w:rFonts w:ascii="Bangla MN" w:hAnsi="Bangla MN" w:cs="Bangla MN"/>
          <w:b/>
          <w:bCs/>
          <w:sz w:val="28"/>
          <w:szCs w:val="28"/>
        </w:rPr>
      </w:pPr>
    </w:p>
    <w:p w14:paraId="5447A184" w14:textId="77777777" w:rsidR="00824522" w:rsidRDefault="00824522" w:rsidP="001E258D">
      <w:pPr>
        <w:spacing w:line="276" w:lineRule="auto"/>
        <w:jc w:val="both"/>
        <w:rPr>
          <w:rFonts w:ascii="Bangla MN" w:hAnsi="Bangla MN" w:cs="Bangla MN"/>
          <w:b/>
          <w:bCs/>
          <w:sz w:val="28"/>
          <w:szCs w:val="28"/>
        </w:rPr>
      </w:pPr>
    </w:p>
    <w:p w14:paraId="7C819258" w14:textId="7384D9D5" w:rsidR="00824522" w:rsidRDefault="00824522" w:rsidP="001E258D">
      <w:pPr>
        <w:spacing w:line="276" w:lineRule="auto"/>
        <w:jc w:val="both"/>
        <w:rPr>
          <w:rFonts w:ascii="Bangla MN" w:hAnsi="Bangla MN" w:cs="Bangla MN"/>
          <w:b/>
          <w:bCs/>
          <w:sz w:val="28"/>
          <w:szCs w:val="28"/>
        </w:rPr>
      </w:pPr>
    </w:p>
    <w:p w14:paraId="2E22C868" w14:textId="045E42B9" w:rsidR="00824522" w:rsidRPr="00025214" w:rsidRDefault="00025214" w:rsidP="00025214">
      <w:pPr>
        <w:spacing w:line="276" w:lineRule="auto"/>
        <w:ind w:firstLine="0"/>
        <w:jc w:val="both"/>
        <w:rPr>
          <w:rFonts w:cs="Bangla MN"/>
          <w:b/>
          <w:bCs/>
          <w:sz w:val="18"/>
          <w:szCs w:val="18"/>
        </w:rPr>
      </w:pPr>
      <w:r w:rsidRPr="00025214">
        <w:rPr>
          <w:b/>
          <w:bCs/>
          <w:sz w:val="18"/>
          <w:szCs w:val="18"/>
        </w:rPr>
        <w:t xml:space="preserve">Figure </w:t>
      </w:r>
      <w:r w:rsidRPr="00025214">
        <w:rPr>
          <w:b/>
          <w:bCs/>
          <w:sz w:val="18"/>
          <w:szCs w:val="18"/>
        </w:rPr>
        <w:fldChar w:fldCharType="begin"/>
      </w:r>
      <w:r w:rsidRPr="00025214">
        <w:rPr>
          <w:b/>
          <w:bCs/>
          <w:sz w:val="18"/>
          <w:szCs w:val="18"/>
        </w:rPr>
        <w:instrText xml:space="preserve"> SEQ Figure \* ARABIC </w:instrText>
      </w:r>
      <w:r w:rsidRPr="00025214">
        <w:rPr>
          <w:b/>
          <w:bCs/>
          <w:sz w:val="18"/>
          <w:szCs w:val="18"/>
        </w:rPr>
        <w:fldChar w:fldCharType="separate"/>
      </w:r>
      <w:r w:rsidRPr="00025214">
        <w:rPr>
          <w:b/>
          <w:bCs/>
          <w:noProof/>
          <w:sz w:val="18"/>
          <w:szCs w:val="18"/>
        </w:rPr>
        <w:t>1</w:t>
      </w:r>
      <w:r w:rsidRPr="00025214">
        <w:rPr>
          <w:b/>
          <w:bCs/>
          <w:noProof/>
          <w:sz w:val="18"/>
          <w:szCs w:val="18"/>
        </w:rPr>
        <w:fldChar w:fldCharType="end"/>
      </w:r>
      <w:r w:rsidRPr="00025214">
        <w:rPr>
          <w:b/>
          <w:bCs/>
          <w:sz w:val="18"/>
          <w:szCs w:val="18"/>
        </w:rPr>
        <w:tab/>
        <w:t>PHMR Zones, from the PHMR Management Plan 2017-2021 (</w:t>
      </w:r>
      <w:proofErr w:type="spellStart"/>
      <w:r w:rsidRPr="00025214">
        <w:rPr>
          <w:b/>
          <w:bCs/>
          <w:sz w:val="18"/>
          <w:szCs w:val="18"/>
        </w:rPr>
        <w:t>Wildtracks</w:t>
      </w:r>
      <w:proofErr w:type="spellEnd"/>
      <w:r w:rsidRPr="00025214">
        <w:rPr>
          <w:b/>
          <w:bCs/>
          <w:sz w:val="18"/>
          <w:szCs w:val="18"/>
        </w:rPr>
        <w:t xml:space="preserve"> 2017)</w:t>
      </w:r>
    </w:p>
    <w:p w14:paraId="4A2C747B" w14:textId="19E1ADDF" w:rsidR="00824522" w:rsidRPr="00025214" w:rsidRDefault="00824522" w:rsidP="001E258D">
      <w:pPr>
        <w:spacing w:line="276" w:lineRule="auto"/>
        <w:jc w:val="both"/>
        <w:rPr>
          <w:rFonts w:cs="Bangla MN"/>
          <w:b/>
          <w:bCs/>
          <w:sz w:val="18"/>
          <w:szCs w:val="18"/>
        </w:rPr>
      </w:pPr>
    </w:p>
    <w:p w14:paraId="32A55A47" w14:textId="38385BB9" w:rsidR="00824522" w:rsidRDefault="00824522" w:rsidP="001E258D">
      <w:pPr>
        <w:spacing w:line="276" w:lineRule="auto"/>
        <w:jc w:val="both"/>
        <w:rPr>
          <w:rFonts w:ascii="Bangla MN" w:hAnsi="Bangla MN" w:cs="Bangla MN"/>
          <w:b/>
          <w:bCs/>
          <w:sz w:val="28"/>
          <w:szCs w:val="28"/>
        </w:rPr>
      </w:pPr>
    </w:p>
    <w:p w14:paraId="11FBC157" w14:textId="65D261F2" w:rsidR="00A55C77" w:rsidRDefault="00A55C77" w:rsidP="00824522">
      <w:pPr>
        <w:pStyle w:val="Caption"/>
      </w:pPr>
    </w:p>
    <w:p w14:paraId="413A6251" w14:textId="402A242E" w:rsidR="00A55C77" w:rsidRDefault="00A55C77" w:rsidP="00824522">
      <w:pPr>
        <w:pStyle w:val="Caption"/>
      </w:pPr>
    </w:p>
    <w:p w14:paraId="18FDE7F7" w14:textId="2EE878D7" w:rsidR="00A55C77" w:rsidRDefault="00E25832" w:rsidP="00824522">
      <w:pPr>
        <w:pStyle w:val="Caption"/>
      </w:pPr>
      <w:r w:rsidRPr="00212093">
        <w:rPr>
          <w:rFonts w:asciiTheme="majorHAnsi" w:hAnsiTheme="majorHAnsi"/>
          <w:noProof/>
        </w:rPr>
        <w:lastRenderedPageBreak/>
        <w:drawing>
          <wp:inline distT="0" distB="0" distL="0" distR="0" wp14:anchorId="522ACB1E" wp14:editId="55B0E2C1">
            <wp:extent cx="5230623" cy="4188336"/>
            <wp:effectExtent l="0" t="0" r="1905" b="3175"/>
            <wp:docPr id="681" name="Picture 681" descr="C:\Users\Spare\AppData\Local\Microsoft\Windows\Temporary Internet Files\Content.Outlook\83A28FQC\Conch Sites RM 2019 (0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Spare\AppData\Local\Microsoft\Windows\Temporary Internet Files\Content.Outlook\83A28FQC\Conch Sites RM 2019 (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7222" cy="4193620"/>
                    </a:xfrm>
                    <a:prstGeom prst="rect">
                      <a:avLst/>
                    </a:prstGeom>
                    <a:noFill/>
                    <a:ln>
                      <a:noFill/>
                    </a:ln>
                  </pic:spPr>
                </pic:pic>
              </a:graphicData>
            </a:graphic>
          </wp:inline>
        </w:drawing>
      </w:r>
    </w:p>
    <w:p w14:paraId="4BBD3FB3" w14:textId="5C8C96F5" w:rsidR="00A55C77" w:rsidRDefault="00A55C77" w:rsidP="00824522">
      <w:pPr>
        <w:pStyle w:val="Caption"/>
      </w:pPr>
    </w:p>
    <w:p w14:paraId="1DB9BE5D" w14:textId="5E48F874" w:rsidR="00025214" w:rsidRPr="00420299" w:rsidRDefault="00025214" w:rsidP="00025214">
      <w:pPr>
        <w:pStyle w:val="Caption"/>
        <w:ind w:firstLine="0"/>
      </w:pPr>
      <w:r w:rsidRPr="00063E1B">
        <w:t xml:space="preserve">Figure </w:t>
      </w:r>
      <w:fldSimple w:instr=" SEQ Figure \* ARABIC ">
        <w:r w:rsidRPr="00063E1B">
          <w:rPr>
            <w:noProof/>
          </w:rPr>
          <w:t>2</w:t>
        </w:r>
      </w:fldSimple>
      <w:r w:rsidRPr="00063E1B">
        <w:t xml:space="preserve"> </w:t>
      </w:r>
      <w:r w:rsidR="00E25832">
        <w:t>Queen conch</w:t>
      </w:r>
      <w:r>
        <w:t xml:space="preserve"> </w:t>
      </w:r>
      <w:r w:rsidRPr="00063E1B">
        <w:t xml:space="preserve">monitoring sites within the PHMR and </w:t>
      </w:r>
      <w:r>
        <w:t>adjacent buffer area</w:t>
      </w:r>
      <w:r w:rsidRPr="00063E1B">
        <w:t xml:space="preserve"> (TIDE 2019)</w:t>
      </w:r>
    </w:p>
    <w:p w14:paraId="7BD8AB31" w14:textId="77777777" w:rsidR="00C67A9C" w:rsidRDefault="00C67A9C" w:rsidP="00A55C77">
      <w:pPr>
        <w:spacing w:line="276" w:lineRule="auto"/>
        <w:ind w:firstLine="0"/>
        <w:jc w:val="both"/>
        <w:rPr>
          <w:rFonts w:ascii="Bangla MN" w:hAnsi="Bangla MN" w:cs="Bangla MN"/>
          <w:b/>
          <w:bCs/>
          <w:sz w:val="28"/>
          <w:szCs w:val="28"/>
        </w:rPr>
      </w:pPr>
    </w:p>
    <w:p w14:paraId="7404A024" w14:textId="0D61CBEB" w:rsidR="00E62735" w:rsidRDefault="00591983" w:rsidP="00A55C77">
      <w:pPr>
        <w:spacing w:line="276" w:lineRule="auto"/>
        <w:ind w:firstLine="0"/>
        <w:jc w:val="both"/>
        <w:rPr>
          <w:rFonts w:ascii="Bangla MN" w:hAnsi="Bangla MN" w:cs="Bangla MN"/>
          <w:b/>
          <w:bCs/>
          <w:sz w:val="28"/>
          <w:szCs w:val="28"/>
        </w:rPr>
      </w:pPr>
      <w:r w:rsidRPr="00591983">
        <w:rPr>
          <w:rFonts w:ascii="Bangla MN" w:hAnsi="Bangla MN" w:cs="Bangla MN"/>
          <w:b/>
          <w:bCs/>
          <w:sz w:val="28"/>
          <w:szCs w:val="28"/>
        </w:rPr>
        <w:t>M</w:t>
      </w:r>
      <w:r>
        <w:rPr>
          <w:rFonts w:ascii="Bangla MN" w:hAnsi="Bangla MN" w:cs="Bangla MN"/>
          <w:b/>
          <w:bCs/>
          <w:sz w:val="28"/>
          <w:szCs w:val="28"/>
        </w:rPr>
        <w:t>ethodology</w:t>
      </w:r>
    </w:p>
    <w:p w14:paraId="4454F834" w14:textId="0F37760E" w:rsidR="00D95167" w:rsidRPr="00D95167" w:rsidRDefault="00E57730" w:rsidP="007F6D3B">
      <w:pPr>
        <w:spacing w:line="276" w:lineRule="auto"/>
        <w:jc w:val="both"/>
        <w:rPr>
          <w:rFonts w:ascii="Avenir Book" w:hAnsi="Avenir Book" w:cs="Times New Roman"/>
        </w:rPr>
      </w:pPr>
      <w:r w:rsidRPr="00D95167">
        <w:rPr>
          <w:rFonts w:ascii="Avenir Book" w:hAnsi="Avenir Book" w:cs="Times New Roman"/>
        </w:rPr>
        <w:t>Since 2004 TIDE has been monitoring the populations of the commercially important species, queen conch (</w:t>
      </w:r>
      <w:proofErr w:type="spellStart"/>
      <w:r w:rsidR="004D5F07" w:rsidRPr="00D95167">
        <w:rPr>
          <w:rFonts w:ascii="Avenir Book" w:hAnsi="Avenir Book" w:cs="Times New Roman"/>
          <w:i/>
          <w:iCs/>
        </w:rPr>
        <w:t>Aliger</w:t>
      </w:r>
      <w:proofErr w:type="spellEnd"/>
      <w:r w:rsidRPr="00D95167">
        <w:rPr>
          <w:rFonts w:ascii="Avenir Book" w:hAnsi="Avenir Book" w:cs="Times New Roman"/>
          <w:i/>
          <w:iCs/>
        </w:rPr>
        <w:t xml:space="preserve"> gigas</w:t>
      </w:r>
      <w:r w:rsidRPr="00D95167">
        <w:rPr>
          <w:rFonts w:ascii="Avenir Book" w:hAnsi="Avenir Book" w:cs="Times New Roman"/>
        </w:rPr>
        <w:t>), across twenty</w:t>
      </w:r>
      <w:r w:rsidR="004D5F07" w:rsidRPr="00D95167">
        <w:rPr>
          <w:rFonts w:ascii="Avenir Book" w:hAnsi="Avenir Book" w:cs="Times New Roman"/>
        </w:rPr>
        <w:t xml:space="preserve">-one </w:t>
      </w:r>
      <w:r w:rsidRPr="00D95167">
        <w:rPr>
          <w:rFonts w:ascii="Avenir Book" w:hAnsi="Avenir Book" w:cs="Times New Roman"/>
        </w:rPr>
        <w:t>sites</w:t>
      </w:r>
      <w:r w:rsidR="00F0582D">
        <w:rPr>
          <w:rFonts w:ascii="Avenir Book" w:hAnsi="Avenir Book" w:cs="Times New Roman"/>
        </w:rPr>
        <w:t>, both</w:t>
      </w:r>
      <w:r w:rsidRPr="00D95167">
        <w:rPr>
          <w:rFonts w:ascii="Avenir Book" w:hAnsi="Avenir Book" w:cs="Times New Roman"/>
        </w:rPr>
        <w:t xml:space="preserve"> within the management zones of the marine reserve and outside, adjacent to the marine protected area (Figure 2). This long-term monitoring has produced information on population abundance, size and maturity of this important species. In 20</w:t>
      </w:r>
      <w:r w:rsidR="004D5F07" w:rsidRPr="00D95167">
        <w:rPr>
          <w:rFonts w:ascii="Avenir Book" w:hAnsi="Avenir Book" w:cs="Times New Roman"/>
        </w:rPr>
        <w:t>21</w:t>
      </w:r>
      <w:r w:rsidRPr="00D95167">
        <w:rPr>
          <w:rFonts w:ascii="Avenir Book" w:hAnsi="Avenir Book" w:cs="Times New Roman"/>
        </w:rPr>
        <w:t xml:space="preserve">, TIDE completed </w:t>
      </w:r>
      <w:r w:rsidR="004D5F07" w:rsidRPr="00D95167">
        <w:rPr>
          <w:rFonts w:ascii="Avenir Book" w:hAnsi="Avenir Book" w:cs="Times New Roman"/>
        </w:rPr>
        <w:t>annual monitoring of queen conch during July 4-7</w:t>
      </w:r>
      <w:r w:rsidR="004D5F07" w:rsidRPr="00D95167">
        <w:rPr>
          <w:rFonts w:ascii="Avenir Book" w:hAnsi="Avenir Book" w:cs="Times New Roman"/>
          <w:vertAlign w:val="superscript"/>
        </w:rPr>
        <w:t>th</w:t>
      </w:r>
      <w:r w:rsidR="004D5F07" w:rsidRPr="00D95167">
        <w:rPr>
          <w:rFonts w:ascii="Avenir Book" w:hAnsi="Avenir Book" w:cs="Times New Roman"/>
        </w:rPr>
        <w:t>, at the start of the closed season, and September 23</w:t>
      </w:r>
      <w:r w:rsidR="004D5F07" w:rsidRPr="00D95167">
        <w:rPr>
          <w:rFonts w:ascii="Avenir Book" w:hAnsi="Avenir Book" w:cs="Times New Roman"/>
          <w:vertAlign w:val="superscript"/>
        </w:rPr>
        <w:t>rd</w:t>
      </w:r>
      <w:r w:rsidR="004D5F07" w:rsidRPr="00D95167">
        <w:rPr>
          <w:rFonts w:ascii="Avenir Book" w:hAnsi="Avenir Book" w:cs="Times New Roman"/>
        </w:rPr>
        <w:t xml:space="preserve"> to 29</w:t>
      </w:r>
      <w:r w:rsidR="004D5F07" w:rsidRPr="00D95167">
        <w:rPr>
          <w:rFonts w:ascii="Avenir Book" w:hAnsi="Avenir Book" w:cs="Times New Roman"/>
          <w:vertAlign w:val="superscript"/>
        </w:rPr>
        <w:t>th</w:t>
      </w:r>
      <w:r w:rsidR="004D5F07" w:rsidRPr="00D95167">
        <w:rPr>
          <w:rFonts w:ascii="Avenir Book" w:hAnsi="Avenir Book" w:cs="Times New Roman"/>
        </w:rPr>
        <w:t>, just before the open season (October 1</w:t>
      </w:r>
      <w:r w:rsidR="004D5F07" w:rsidRPr="00D95167">
        <w:rPr>
          <w:rFonts w:ascii="Avenir Book" w:hAnsi="Avenir Book" w:cs="Times New Roman"/>
          <w:vertAlign w:val="superscript"/>
        </w:rPr>
        <w:t>st</w:t>
      </w:r>
      <w:r w:rsidR="004D5F07" w:rsidRPr="00D95167">
        <w:rPr>
          <w:rFonts w:ascii="Avenir Book" w:hAnsi="Avenir Book" w:cs="Times New Roman"/>
        </w:rPr>
        <w:t>)</w:t>
      </w:r>
      <w:r w:rsidRPr="00D95167">
        <w:rPr>
          <w:rFonts w:ascii="Avenir Book" w:hAnsi="Avenir Book" w:cs="Times New Roman"/>
        </w:rPr>
        <w:t>.</w:t>
      </w:r>
      <w:r w:rsidR="00110787" w:rsidRPr="00D95167">
        <w:rPr>
          <w:rFonts w:ascii="Avenir Book" w:hAnsi="Avenir Book" w:cs="Times New Roman"/>
        </w:rPr>
        <w:t xml:space="preserve"> </w:t>
      </w:r>
      <w:r w:rsidRPr="00D95167">
        <w:rPr>
          <w:rFonts w:ascii="Avenir Book" w:hAnsi="Avenir Book" w:cs="Times New Roman"/>
        </w:rPr>
        <w:t xml:space="preserve">Data </w:t>
      </w:r>
      <w:r w:rsidR="00110787" w:rsidRPr="00D95167">
        <w:rPr>
          <w:rFonts w:ascii="Avenir Book" w:hAnsi="Avenir Book" w:cs="Times New Roman"/>
        </w:rPr>
        <w:t>was collected using</w:t>
      </w:r>
      <w:r w:rsidRPr="00D95167">
        <w:rPr>
          <w:rFonts w:ascii="Avenir Book" w:hAnsi="Avenir Book" w:cs="Times New Roman"/>
        </w:rPr>
        <w:t xml:space="preserve"> previous methodology employed for queen conch, with five belt transects of 50 m by 4 m placed parallel to each other</w:t>
      </w:r>
      <w:r w:rsidR="00110787" w:rsidRPr="00D95167">
        <w:rPr>
          <w:rFonts w:ascii="Avenir Book" w:hAnsi="Avenir Book" w:cs="Times New Roman"/>
        </w:rPr>
        <w:t>, for a total area of 1000 m</w:t>
      </w:r>
      <w:r w:rsidR="00110787" w:rsidRPr="00D95167">
        <w:rPr>
          <w:rFonts w:ascii="Avenir Book" w:hAnsi="Avenir Book" w:cs="Times New Roman"/>
          <w:vertAlign w:val="superscript"/>
        </w:rPr>
        <w:t>2</w:t>
      </w:r>
      <w:r w:rsidR="00110787" w:rsidRPr="00D95167">
        <w:rPr>
          <w:rFonts w:ascii="Avenir Book" w:hAnsi="Avenir Book" w:cs="Times New Roman"/>
        </w:rPr>
        <w:t xml:space="preserve"> per site.</w:t>
      </w:r>
      <w:r w:rsidRPr="00D95167">
        <w:rPr>
          <w:rFonts w:ascii="Avenir Book" w:hAnsi="Avenir Book" w:cs="Times New Roman"/>
        </w:rPr>
        <w:t xml:space="preserve"> On each transect the entire 200 m</w:t>
      </w:r>
      <w:r w:rsidRPr="00D95167">
        <w:rPr>
          <w:rFonts w:ascii="Avenir Book" w:hAnsi="Avenir Book" w:cs="Times New Roman"/>
          <w:vertAlign w:val="superscript"/>
        </w:rPr>
        <w:t>2</w:t>
      </w:r>
      <w:r w:rsidRPr="00D95167">
        <w:rPr>
          <w:rFonts w:ascii="Avenir Book" w:hAnsi="Avenir Book" w:cs="Times New Roman"/>
        </w:rPr>
        <w:t xml:space="preserve"> area was searched and all conch encountered were counted and measured for shell length (SL), lip thickness (LT) and lip width (LW) (TIDE 2019). </w:t>
      </w:r>
      <w:r w:rsidR="00110787" w:rsidRPr="00D95167">
        <w:rPr>
          <w:rFonts w:ascii="Avenir Book" w:hAnsi="Avenir Book" w:cs="Times New Roman"/>
        </w:rPr>
        <w:t>O</w:t>
      </w:r>
      <w:r w:rsidRPr="00D95167">
        <w:rPr>
          <w:rFonts w:ascii="Avenir Book" w:hAnsi="Avenir Book" w:cs="Times New Roman"/>
        </w:rPr>
        <w:t xml:space="preserve">nly twenty sites out of the twenty-one were surveyed, 7 within the replenishment zones (RZ), </w:t>
      </w:r>
      <w:r w:rsidR="00110787" w:rsidRPr="00D95167">
        <w:rPr>
          <w:rFonts w:ascii="Avenir Book" w:hAnsi="Avenir Book" w:cs="Times New Roman"/>
        </w:rPr>
        <w:t>10</w:t>
      </w:r>
      <w:r w:rsidRPr="00D95167">
        <w:rPr>
          <w:rFonts w:ascii="Avenir Book" w:hAnsi="Avenir Book" w:cs="Times New Roman"/>
        </w:rPr>
        <w:t xml:space="preserve"> in the general use zones (GUZ) and 4 outside the reserve (OUT) (Figure 2</w:t>
      </w:r>
      <w:r w:rsidRPr="00F0582D">
        <w:rPr>
          <w:rFonts w:ascii="Avenir Book" w:hAnsi="Avenir Book" w:cs="Times New Roman"/>
        </w:rPr>
        <w:t>)</w:t>
      </w:r>
      <w:r w:rsidR="00110787" w:rsidRPr="00F0582D">
        <w:rPr>
          <w:rFonts w:ascii="Avenir Book" w:hAnsi="Avenir Book" w:cs="Times New Roman"/>
        </w:rPr>
        <w:t>.</w:t>
      </w:r>
      <w:r w:rsidR="00D95167" w:rsidRPr="00F0582D">
        <w:rPr>
          <w:rFonts w:ascii="Avenir Book" w:hAnsi="Avenir Book" w:cs="Times New Roman"/>
        </w:rPr>
        <w:t xml:space="preserve"> </w:t>
      </w:r>
      <w:r w:rsidR="00D95167" w:rsidRPr="00F0582D">
        <w:rPr>
          <w:rFonts w:ascii="Avenir Book" w:hAnsi="Avenir Book"/>
        </w:rPr>
        <w:t xml:space="preserve">This report also </w:t>
      </w:r>
      <w:r w:rsidR="00D95167" w:rsidRPr="00F0582D">
        <w:rPr>
          <w:rFonts w:ascii="Avenir Book" w:hAnsi="Avenir Book"/>
        </w:rPr>
        <w:lastRenderedPageBreak/>
        <w:t xml:space="preserve">compares data on mean </w:t>
      </w:r>
      <w:r w:rsidR="00F0582D" w:rsidRPr="00F0582D">
        <w:rPr>
          <w:rFonts w:ascii="Avenir Book" w:hAnsi="Avenir Book"/>
        </w:rPr>
        <w:t>abundance,</w:t>
      </w:r>
      <w:r w:rsidR="00D95167" w:rsidRPr="00F0582D">
        <w:rPr>
          <w:rFonts w:ascii="Avenir Book" w:hAnsi="Avenir Book"/>
        </w:rPr>
        <w:t xml:space="preserve"> mean </w:t>
      </w:r>
      <w:r w:rsidR="00F0582D" w:rsidRPr="00F0582D">
        <w:rPr>
          <w:rFonts w:ascii="Avenir Book" w:hAnsi="Avenir Book"/>
        </w:rPr>
        <w:t>shell length, mean lip thickness</w:t>
      </w:r>
      <w:r w:rsidR="00D95167" w:rsidRPr="00F0582D">
        <w:rPr>
          <w:rFonts w:ascii="Avenir Book" w:hAnsi="Avenir Book"/>
        </w:rPr>
        <w:t xml:space="preserve"> between </w:t>
      </w:r>
      <w:r w:rsidR="00C94F10">
        <w:rPr>
          <w:rFonts w:ascii="Avenir Book" w:hAnsi="Avenir Book"/>
        </w:rPr>
        <w:t xml:space="preserve">May </w:t>
      </w:r>
      <w:r w:rsidR="00D95167" w:rsidRPr="00F0582D">
        <w:rPr>
          <w:rFonts w:ascii="Avenir Book" w:hAnsi="Avenir Book"/>
        </w:rPr>
        <w:t xml:space="preserve">2020 and </w:t>
      </w:r>
      <w:r w:rsidR="00C94F10">
        <w:rPr>
          <w:rFonts w:ascii="Avenir Book" w:hAnsi="Avenir Book"/>
        </w:rPr>
        <w:t xml:space="preserve">July </w:t>
      </w:r>
      <w:r w:rsidR="00D95167" w:rsidRPr="00F0582D">
        <w:rPr>
          <w:rFonts w:ascii="Avenir Book" w:hAnsi="Avenir Book"/>
        </w:rPr>
        <w:t>2021</w:t>
      </w:r>
      <w:r w:rsidR="00C94F10">
        <w:rPr>
          <w:rFonts w:ascii="Avenir Book" w:hAnsi="Avenir Book"/>
        </w:rPr>
        <w:t>, since data was only collected at the start of the closed season in May of 2020</w:t>
      </w:r>
      <w:r w:rsidR="00D95167" w:rsidRPr="00F0582D">
        <w:rPr>
          <w:rFonts w:ascii="Avenir Book" w:hAnsi="Avenir Book"/>
        </w:rPr>
        <w:t>.</w:t>
      </w:r>
    </w:p>
    <w:p w14:paraId="3F318F49" w14:textId="77777777" w:rsidR="00C67A9C" w:rsidRDefault="00C67A9C" w:rsidP="005A7750">
      <w:pPr>
        <w:spacing w:line="276" w:lineRule="auto"/>
        <w:ind w:firstLine="0"/>
        <w:jc w:val="both"/>
        <w:rPr>
          <w:rFonts w:ascii="Bangla MN" w:hAnsi="Bangla MN" w:cs="Bangla MN"/>
          <w:b/>
          <w:bCs/>
          <w:sz w:val="28"/>
          <w:szCs w:val="28"/>
        </w:rPr>
      </w:pPr>
    </w:p>
    <w:p w14:paraId="71A2E2A2" w14:textId="6B52B87C" w:rsidR="00226EB9" w:rsidRDefault="00226EB9" w:rsidP="007F6D3B">
      <w:pPr>
        <w:spacing w:line="276" w:lineRule="auto"/>
        <w:ind w:firstLine="0"/>
        <w:jc w:val="both"/>
        <w:rPr>
          <w:rFonts w:ascii="Bangla MN" w:hAnsi="Bangla MN" w:cs="Bangla MN"/>
          <w:b/>
          <w:bCs/>
          <w:sz w:val="28"/>
          <w:szCs w:val="28"/>
        </w:rPr>
      </w:pPr>
      <w:r>
        <w:rPr>
          <w:rFonts w:ascii="Bangla MN" w:hAnsi="Bangla MN" w:cs="Bangla MN"/>
          <w:b/>
          <w:bCs/>
          <w:sz w:val="28"/>
          <w:szCs w:val="28"/>
        </w:rPr>
        <w:t>Results</w:t>
      </w:r>
    </w:p>
    <w:p w14:paraId="54B3F401" w14:textId="1D3CDBCD" w:rsidR="008C3B3C" w:rsidRPr="007F6D3B" w:rsidRDefault="00F81DE9" w:rsidP="004B0FFB">
      <w:pPr>
        <w:pStyle w:val="Caption"/>
        <w:spacing w:line="276" w:lineRule="auto"/>
        <w:jc w:val="both"/>
        <w:rPr>
          <w:rFonts w:ascii="Avenir Book" w:hAnsi="Avenir Book"/>
          <w:b w:val="0"/>
          <w:bCs w:val="0"/>
          <w:sz w:val="22"/>
          <w:szCs w:val="22"/>
        </w:rPr>
      </w:pPr>
      <w:r w:rsidRPr="00415F7F">
        <w:rPr>
          <w:rFonts w:ascii="Avenir Book" w:hAnsi="Avenir Book"/>
          <w:b w:val="0"/>
          <w:bCs w:val="0"/>
          <w:sz w:val="22"/>
          <w:szCs w:val="22"/>
        </w:rPr>
        <w:t>A total of twenty out of twenty-one established monitoring sites were surveyed within the PHMR to assess the queen conch population in July and September 2021. In July, the site Bank 2 was not surveyed and in September, the site</w:t>
      </w:r>
      <w:r w:rsidR="005F1ADA">
        <w:rPr>
          <w:rFonts w:ascii="Avenir Book" w:hAnsi="Avenir Book"/>
          <w:b w:val="0"/>
          <w:bCs w:val="0"/>
          <w:sz w:val="22"/>
          <w:szCs w:val="22"/>
        </w:rPr>
        <w:t>,</w:t>
      </w:r>
      <w:r w:rsidRPr="00415F7F">
        <w:rPr>
          <w:rFonts w:ascii="Avenir Book" w:hAnsi="Avenir Book"/>
          <w:b w:val="0"/>
          <w:bCs w:val="0"/>
          <w:sz w:val="22"/>
          <w:szCs w:val="22"/>
        </w:rPr>
        <w:t xml:space="preserve"> South Snake </w:t>
      </w:r>
      <w:proofErr w:type="spellStart"/>
      <w:r w:rsidRPr="00415F7F">
        <w:rPr>
          <w:rFonts w:ascii="Avenir Book" w:hAnsi="Avenir Book"/>
          <w:b w:val="0"/>
          <w:bCs w:val="0"/>
          <w:sz w:val="22"/>
          <w:szCs w:val="22"/>
        </w:rPr>
        <w:t>Caye</w:t>
      </w:r>
      <w:proofErr w:type="spellEnd"/>
      <w:r w:rsidRPr="00415F7F">
        <w:rPr>
          <w:rFonts w:ascii="Avenir Book" w:hAnsi="Avenir Book"/>
          <w:b w:val="0"/>
          <w:bCs w:val="0"/>
          <w:sz w:val="22"/>
          <w:szCs w:val="22"/>
        </w:rPr>
        <w:t xml:space="preserve"> North</w:t>
      </w:r>
      <w:r w:rsidR="005F1ADA">
        <w:rPr>
          <w:rFonts w:ascii="Avenir Book" w:hAnsi="Avenir Book"/>
          <w:b w:val="0"/>
          <w:bCs w:val="0"/>
          <w:sz w:val="22"/>
          <w:szCs w:val="22"/>
        </w:rPr>
        <w:t>,</w:t>
      </w:r>
      <w:r w:rsidRPr="00415F7F">
        <w:rPr>
          <w:rFonts w:ascii="Avenir Book" w:hAnsi="Avenir Book"/>
          <w:b w:val="0"/>
          <w:bCs w:val="0"/>
          <w:sz w:val="22"/>
          <w:szCs w:val="22"/>
        </w:rPr>
        <w:t xml:space="preserve"> was not surveyed. Based on the surveys</w:t>
      </w:r>
      <w:r w:rsidR="00C375BD">
        <w:rPr>
          <w:rFonts w:ascii="Avenir Book" w:hAnsi="Avenir Book"/>
          <w:b w:val="0"/>
          <w:bCs w:val="0"/>
          <w:sz w:val="22"/>
          <w:szCs w:val="22"/>
        </w:rPr>
        <w:t xml:space="preserve"> conducted</w:t>
      </w:r>
      <w:r w:rsidRPr="00415F7F">
        <w:rPr>
          <w:rFonts w:ascii="Avenir Book" w:hAnsi="Avenir Book"/>
          <w:b w:val="0"/>
          <w:bCs w:val="0"/>
          <w:sz w:val="22"/>
          <w:szCs w:val="22"/>
        </w:rPr>
        <w:t xml:space="preserve">, the mean density of queen conch in July was </w:t>
      </w:r>
      <w:r w:rsidR="00E112FB">
        <w:rPr>
          <w:rFonts w:ascii="Avenir Book" w:hAnsi="Avenir Book"/>
          <w:b w:val="0"/>
          <w:bCs w:val="0"/>
          <w:sz w:val="22"/>
          <w:szCs w:val="22"/>
        </w:rPr>
        <w:t xml:space="preserve">higher than September with </w:t>
      </w:r>
      <w:r w:rsidRPr="00415F7F">
        <w:rPr>
          <w:rFonts w:ascii="Avenir Book" w:hAnsi="Avenir Book"/>
          <w:b w:val="0"/>
          <w:bCs w:val="0"/>
          <w:sz w:val="22"/>
          <w:szCs w:val="22"/>
        </w:rPr>
        <w:t>114 conch per Ha</w:t>
      </w:r>
      <w:r w:rsidR="00E112FB">
        <w:rPr>
          <w:rFonts w:ascii="Avenir Book" w:hAnsi="Avenir Book"/>
          <w:b w:val="0"/>
          <w:bCs w:val="0"/>
          <w:sz w:val="22"/>
          <w:szCs w:val="22"/>
        </w:rPr>
        <w:t xml:space="preserve"> </w:t>
      </w:r>
      <w:r w:rsidR="00C821F0" w:rsidRPr="00415F7F">
        <w:rPr>
          <w:b w:val="0"/>
          <w:bCs w:val="0"/>
          <w:sz w:val="22"/>
          <w:szCs w:val="22"/>
        </w:rPr>
        <w:t>(</w:t>
      </w:r>
      <w:r w:rsidR="00C821F0" w:rsidRPr="00415F7F">
        <w:rPr>
          <w:rFonts w:ascii="Century Gothic" w:hAnsi="Century Gothic"/>
          <w:b w:val="0"/>
          <w:bCs w:val="0"/>
          <w:sz w:val="22"/>
          <w:szCs w:val="22"/>
        </w:rPr>
        <w:t>±</w:t>
      </w:r>
      <w:r w:rsidR="00C821F0" w:rsidRPr="00415F7F">
        <w:rPr>
          <w:rFonts w:ascii="Avenir Book" w:hAnsi="Avenir Book"/>
          <w:b w:val="0"/>
          <w:bCs w:val="0"/>
          <w:sz w:val="22"/>
          <w:szCs w:val="22"/>
        </w:rPr>
        <w:t xml:space="preserve">47.7 </w:t>
      </w:r>
      <w:r w:rsidR="00C821F0" w:rsidRPr="00415F7F">
        <w:rPr>
          <w:b w:val="0"/>
          <w:bCs w:val="0"/>
          <w:sz w:val="22"/>
          <w:szCs w:val="22"/>
        </w:rPr>
        <w:t>S.E.)</w:t>
      </w:r>
      <w:r w:rsidR="00C821F0">
        <w:rPr>
          <w:b w:val="0"/>
          <w:bCs w:val="0"/>
          <w:sz w:val="22"/>
          <w:szCs w:val="22"/>
        </w:rPr>
        <w:t xml:space="preserve"> </w:t>
      </w:r>
      <w:r w:rsidR="00E112FB">
        <w:rPr>
          <w:rFonts w:ascii="Avenir Book" w:hAnsi="Avenir Book"/>
          <w:b w:val="0"/>
          <w:bCs w:val="0"/>
          <w:sz w:val="22"/>
          <w:szCs w:val="22"/>
        </w:rPr>
        <w:t>vs</w:t>
      </w:r>
      <w:r w:rsidRPr="00415F7F">
        <w:rPr>
          <w:rFonts w:ascii="Avenir Book" w:hAnsi="Avenir Book"/>
          <w:b w:val="0"/>
          <w:bCs w:val="0"/>
          <w:sz w:val="22"/>
          <w:szCs w:val="22"/>
        </w:rPr>
        <w:t xml:space="preserve">. September, </w:t>
      </w:r>
      <w:r w:rsidR="00E112FB">
        <w:rPr>
          <w:rFonts w:ascii="Avenir Book" w:hAnsi="Avenir Book"/>
          <w:b w:val="0"/>
          <w:bCs w:val="0"/>
          <w:sz w:val="22"/>
          <w:szCs w:val="22"/>
        </w:rPr>
        <w:t>with</w:t>
      </w:r>
      <w:r w:rsidRPr="00415F7F">
        <w:rPr>
          <w:rFonts w:ascii="Avenir Book" w:hAnsi="Avenir Book"/>
          <w:b w:val="0"/>
          <w:bCs w:val="0"/>
          <w:sz w:val="22"/>
          <w:szCs w:val="22"/>
        </w:rPr>
        <w:t xml:space="preserve"> 104</w:t>
      </w:r>
      <w:r w:rsidR="00F318D6" w:rsidRPr="00415F7F">
        <w:rPr>
          <w:b w:val="0"/>
          <w:bCs w:val="0"/>
          <w:sz w:val="22"/>
          <w:szCs w:val="22"/>
        </w:rPr>
        <w:t xml:space="preserve"> </w:t>
      </w:r>
      <w:r w:rsidRPr="00415F7F">
        <w:rPr>
          <w:rFonts w:ascii="Avenir Book" w:hAnsi="Avenir Book"/>
          <w:b w:val="0"/>
          <w:bCs w:val="0"/>
          <w:sz w:val="22"/>
          <w:szCs w:val="22"/>
        </w:rPr>
        <w:t>conch per Ha</w:t>
      </w:r>
      <w:r w:rsidR="00E112FB">
        <w:rPr>
          <w:rFonts w:ascii="Avenir Book" w:hAnsi="Avenir Book"/>
          <w:b w:val="0"/>
          <w:bCs w:val="0"/>
          <w:sz w:val="22"/>
          <w:szCs w:val="22"/>
        </w:rPr>
        <w:t xml:space="preserve"> </w:t>
      </w:r>
      <w:r w:rsidR="00C821F0" w:rsidRPr="00415F7F">
        <w:rPr>
          <w:b w:val="0"/>
          <w:bCs w:val="0"/>
          <w:sz w:val="22"/>
          <w:szCs w:val="22"/>
        </w:rPr>
        <w:t>(</w:t>
      </w:r>
      <w:r w:rsidR="00C821F0" w:rsidRPr="00415F7F">
        <w:rPr>
          <w:rFonts w:ascii="Century Gothic" w:hAnsi="Century Gothic"/>
          <w:b w:val="0"/>
          <w:bCs w:val="0"/>
          <w:sz w:val="22"/>
          <w:szCs w:val="22"/>
        </w:rPr>
        <w:t>±</w:t>
      </w:r>
      <w:r w:rsidR="00C821F0" w:rsidRPr="00415F7F">
        <w:rPr>
          <w:rFonts w:ascii="Avenir Book" w:hAnsi="Avenir Book"/>
          <w:b w:val="0"/>
          <w:bCs w:val="0"/>
          <w:sz w:val="22"/>
          <w:szCs w:val="22"/>
        </w:rPr>
        <w:t xml:space="preserve">24.5 </w:t>
      </w:r>
      <w:r w:rsidR="00C821F0" w:rsidRPr="00415F7F">
        <w:rPr>
          <w:b w:val="0"/>
          <w:bCs w:val="0"/>
          <w:sz w:val="22"/>
          <w:szCs w:val="22"/>
        </w:rPr>
        <w:t>S.E.)</w:t>
      </w:r>
      <w:r w:rsidR="00C821F0" w:rsidRPr="00415F7F">
        <w:rPr>
          <w:rFonts w:ascii="Avenir Book" w:hAnsi="Avenir Book"/>
          <w:b w:val="0"/>
          <w:bCs w:val="0"/>
          <w:sz w:val="22"/>
          <w:szCs w:val="22"/>
        </w:rPr>
        <w:t xml:space="preserve"> </w:t>
      </w:r>
      <w:r w:rsidR="00E112FB" w:rsidRPr="00415F7F">
        <w:rPr>
          <w:rFonts w:ascii="Avenir Book" w:hAnsi="Avenir Book"/>
          <w:b w:val="0"/>
          <w:bCs w:val="0"/>
          <w:sz w:val="22"/>
          <w:szCs w:val="22"/>
        </w:rPr>
        <w:t>(Table 1)</w:t>
      </w:r>
      <w:r w:rsidR="00E112FB">
        <w:rPr>
          <w:rFonts w:ascii="Avenir Book" w:hAnsi="Avenir Book"/>
          <w:b w:val="0"/>
          <w:bCs w:val="0"/>
          <w:sz w:val="22"/>
          <w:szCs w:val="22"/>
        </w:rPr>
        <w:t>. Density fluctuated considerably among the sites with the highest being 970 conch per Ha in July and 390 conch per Ha in September. There were also less sites without conch in July (</w:t>
      </w:r>
      <w:r w:rsidR="00E112FB" w:rsidRPr="00415F7F">
        <w:rPr>
          <w:rFonts w:ascii="Avenir Book" w:hAnsi="Avenir Book"/>
          <w:b w:val="0"/>
          <w:bCs w:val="0"/>
          <w:sz w:val="22"/>
          <w:szCs w:val="22"/>
        </w:rPr>
        <w:t>two sites</w:t>
      </w:r>
      <w:r w:rsidR="00E112FB">
        <w:rPr>
          <w:rFonts w:ascii="Avenir Book" w:hAnsi="Avenir Book"/>
          <w:b w:val="0"/>
          <w:bCs w:val="0"/>
          <w:sz w:val="22"/>
          <w:szCs w:val="22"/>
        </w:rPr>
        <w:t xml:space="preserve">) compared to </w:t>
      </w:r>
      <w:r w:rsidR="00E112FB" w:rsidRPr="00415F7F">
        <w:rPr>
          <w:rFonts w:ascii="Avenir Book" w:hAnsi="Avenir Book"/>
          <w:b w:val="0"/>
          <w:bCs w:val="0"/>
          <w:sz w:val="22"/>
          <w:szCs w:val="22"/>
        </w:rPr>
        <w:t xml:space="preserve">four sites </w:t>
      </w:r>
      <w:r w:rsidR="00E112FB">
        <w:rPr>
          <w:rFonts w:ascii="Avenir Book" w:hAnsi="Avenir Book"/>
          <w:b w:val="0"/>
          <w:bCs w:val="0"/>
          <w:sz w:val="22"/>
          <w:szCs w:val="22"/>
        </w:rPr>
        <w:t>without conch in September</w:t>
      </w:r>
      <w:r w:rsidR="00E112FB" w:rsidRPr="00415F7F">
        <w:rPr>
          <w:rFonts w:ascii="Avenir Book" w:hAnsi="Avenir Book"/>
          <w:b w:val="0"/>
          <w:bCs w:val="0"/>
          <w:sz w:val="22"/>
          <w:szCs w:val="22"/>
        </w:rPr>
        <w:t>.</w:t>
      </w:r>
      <w:r w:rsidRPr="00415F7F">
        <w:rPr>
          <w:rFonts w:ascii="Avenir Book" w:hAnsi="Avenir Book"/>
          <w:b w:val="0"/>
          <w:bCs w:val="0"/>
          <w:sz w:val="22"/>
          <w:szCs w:val="22"/>
        </w:rPr>
        <w:t xml:space="preserve">  Mean shell length</w:t>
      </w:r>
      <w:r w:rsidR="00E112FB">
        <w:rPr>
          <w:rFonts w:ascii="Avenir Book" w:hAnsi="Avenir Book"/>
          <w:b w:val="0"/>
          <w:bCs w:val="0"/>
          <w:sz w:val="22"/>
          <w:szCs w:val="22"/>
        </w:rPr>
        <w:t xml:space="preserve"> </w:t>
      </w:r>
      <w:r w:rsidR="000527EE">
        <w:rPr>
          <w:rFonts w:ascii="Avenir Book" w:hAnsi="Avenir Book"/>
          <w:b w:val="0"/>
          <w:bCs w:val="0"/>
          <w:sz w:val="22"/>
          <w:szCs w:val="22"/>
        </w:rPr>
        <w:t xml:space="preserve">and mean lip thickness </w:t>
      </w:r>
      <w:r w:rsidR="000527EE" w:rsidRPr="007F6D3B">
        <w:rPr>
          <w:rFonts w:ascii="Avenir Book" w:hAnsi="Avenir Book"/>
          <w:b w:val="0"/>
          <w:bCs w:val="0"/>
          <w:sz w:val="22"/>
          <w:szCs w:val="22"/>
        </w:rPr>
        <w:t>were smaller</w:t>
      </w:r>
      <w:r w:rsidRPr="007F6D3B">
        <w:rPr>
          <w:rFonts w:ascii="Avenir Book" w:hAnsi="Avenir Book"/>
          <w:b w:val="0"/>
          <w:bCs w:val="0"/>
          <w:sz w:val="22"/>
          <w:szCs w:val="22"/>
        </w:rPr>
        <w:t xml:space="preserve"> in July w</w:t>
      </w:r>
      <w:r w:rsidR="00E112FB" w:rsidRPr="007F6D3B">
        <w:rPr>
          <w:rFonts w:ascii="Avenir Book" w:hAnsi="Avenir Book"/>
          <w:b w:val="0"/>
          <w:bCs w:val="0"/>
          <w:sz w:val="22"/>
          <w:szCs w:val="22"/>
        </w:rPr>
        <w:t xml:space="preserve">ith </w:t>
      </w:r>
      <w:r w:rsidRPr="007F6D3B">
        <w:rPr>
          <w:rFonts w:ascii="Avenir Book" w:hAnsi="Avenir Book"/>
          <w:b w:val="0"/>
          <w:bCs w:val="0"/>
          <w:sz w:val="22"/>
          <w:szCs w:val="22"/>
        </w:rPr>
        <w:t>19</w:t>
      </w:r>
      <w:r w:rsidR="00C821F0" w:rsidRPr="007F6D3B">
        <w:rPr>
          <w:rFonts w:ascii="Avenir Book" w:hAnsi="Avenir Book"/>
          <w:b w:val="0"/>
          <w:bCs w:val="0"/>
          <w:sz w:val="22"/>
          <w:szCs w:val="22"/>
        </w:rPr>
        <w:t xml:space="preserve"> cm</w:t>
      </w:r>
      <w:r w:rsidRPr="007F6D3B">
        <w:rPr>
          <w:rFonts w:ascii="Avenir Book" w:hAnsi="Avenir Book"/>
          <w:b w:val="0"/>
          <w:bCs w:val="0"/>
          <w:sz w:val="22"/>
          <w:szCs w:val="22"/>
        </w:rPr>
        <w:t xml:space="preserve"> </w:t>
      </w:r>
      <w:r w:rsidR="00F318D6" w:rsidRPr="007F6D3B">
        <w:rPr>
          <w:rFonts w:ascii="Avenir Book" w:hAnsi="Avenir Book"/>
          <w:b w:val="0"/>
          <w:bCs w:val="0"/>
          <w:sz w:val="22"/>
          <w:szCs w:val="22"/>
        </w:rPr>
        <w:t xml:space="preserve">(±0.4 S.E.) </w:t>
      </w:r>
      <w:r w:rsidRPr="007F6D3B">
        <w:rPr>
          <w:rFonts w:ascii="Avenir Book" w:hAnsi="Avenir Book"/>
          <w:b w:val="0"/>
          <w:bCs w:val="0"/>
          <w:sz w:val="22"/>
          <w:szCs w:val="22"/>
        </w:rPr>
        <w:t>and 2.9 mm</w:t>
      </w:r>
      <w:r w:rsidR="00C821F0" w:rsidRPr="007F6D3B">
        <w:rPr>
          <w:rFonts w:ascii="Avenir Book" w:hAnsi="Avenir Book"/>
          <w:b w:val="0"/>
          <w:bCs w:val="0"/>
          <w:sz w:val="22"/>
          <w:szCs w:val="22"/>
        </w:rPr>
        <w:t xml:space="preserve"> (±0.9 S.E.)</w:t>
      </w:r>
      <w:r w:rsidR="00F318D6" w:rsidRPr="007F6D3B">
        <w:rPr>
          <w:rFonts w:ascii="Avenir Book" w:hAnsi="Avenir Book"/>
          <w:b w:val="0"/>
          <w:bCs w:val="0"/>
          <w:sz w:val="22"/>
          <w:szCs w:val="22"/>
        </w:rPr>
        <w:t xml:space="preserve">, </w:t>
      </w:r>
      <w:r w:rsidR="000527EE" w:rsidRPr="007F6D3B">
        <w:rPr>
          <w:rFonts w:ascii="Avenir Book" w:hAnsi="Avenir Book"/>
          <w:b w:val="0"/>
          <w:bCs w:val="0"/>
          <w:sz w:val="22"/>
          <w:szCs w:val="22"/>
        </w:rPr>
        <w:t xml:space="preserve">respectively, </w:t>
      </w:r>
      <w:r w:rsidR="00F318D6" w:rsidRPr="007F6D3B">
        <w:rPr>
          <w:rFonts w:ascii="Avenir Book" w:hAnsi="Avenir Book"/>
          <w:b w:val="0"/>
          <w:bCs w:val="0"/>
          <w:sz w:val="22"/>
          <w:szCs w:val="22"/>
        </w:rPr>
        <w:t>while in September mean shell length was 22.9 cm</w:t>
      </w:r>
      <w:r w:rsidR="00C821F0" w:rsidRPr="007F6D3B">
        <w:rPr>
          <w:rFonts w:ascii="Avenir Book" w:hAnsi="Avenir Book"/>
          <w:b w:val="0"/>
          <w:bCs w:val="0"/>
          <w:sz w:val="22"/>
          <w:szCs w:val="22"/>
        </w:rPr>
        <w:t xml:space="preserve"> (±0.3 S.E.) </w:t>
      </w:r>
      <w:r w:rsidR="00F318D6" w:rsidRPr="007F6D3B">
        <w:rPr>
          <w:rFonts w:ascii="Avenir Book" w:hAnsi="Avenir Book"/>
          <w:b w:val="0"/>
          <w:bCs w:val="0"/>
          <w:sz w:val="22"/>
          <w:szCs w:val="22"/>
        </w:rPr>
        <w:t xml:space="preserve">and lip thickness was 5.4 mm </w:t>
      </w:r>
      <w:r w:rsidR="00C821F0" w:rsidRPr="007F6D3B">
        <w:rPr>
          <w:rFonts w:ascii="Avenir Book" w:hAnsi="Avenir Book"/>
          <w:b w:val="0"/>
          <w:bCs w:val="0"/>
          <w:sz w:val="22"/>
          <w:szCs w:val="22"/>
        </w:rPr>
        <w:t xml:space="preserve">(±1.1 S.E.) </w:t>
      </w:r>
      <w:r w:rsidR="00F318D6" w:rsidRPr="007F6D3B">
        <w:rPr>
          <w:rFonts w:ascii="Avenir Book" w:hAnsi="Avenir Book"/>
          <w:b w:val="0"/>
          <w:bCs w:val="0"/>
          <w:sz w:val="22"/>
          <w:szCs w:val="22"/>
        </w:rPr>
        <w:t>(Table 1).</w:t>
      </w:r>
      <w:r w:rsidR="00415F7F" w:rsidRPr="007F6D3B">
        <w:rPr>
          <w:rFonts w:ascii="Avenir Book" w:hAnsi="Avenir Book"/>
          <w:b w:val="0"/>
          <w:bCs w:val="0"/>
          <w:sz w:val="22"/>
          <w:szCs w:val="22"/>
        </w:rPr>
        <w:t xml:space="preserve"> </w:t>
      </w:r>
      <w:r w:rsidR="00DD099B">
        <w:rPr>
          <w:rFonts w:ascii="Avenir Book" w:hAnsi="Avenir Book"/>
          <w:b w:val="0"/>
          <w:bCs w:val="0"/>
          <w:sz w:val="22"/>
          <w:szCs w:val="22"/>
        </w:rPr>
        <w:t>For both start of the closed season and end of the closed season, mean shell length exceeded the legal limit of 17.8 cm.</w:t>
      </w:r>
    </w:p>
    <w:p w14:paraId="2ADC674E" w14:textId="6473EA62" w:rsidR="00415F7F" w:rsidRPr="007F6D3B" w:rsidRDefault="00415F7F" w:rsidP="004B0FFB">
      <w:pPr>
        <w:spacing w:line="276" w:lineRule="auto"/>
        <w:jc w:val="both"/>
        <w:rPr>
          <w:rFonts w:ascii="Avenir Book" w:hAnsi="Avenir Book"/>
        </w:rPr>
      </w:pPr>
    </w:p>
    <w:p w14:paraId="203A1CFF" w14:textId="1ADC151D" w:rsidR="004B0FFB" w:rsidRDefault="00E112FB" w:rsidP="004B0FFB">
      <w:pPr>
        <w:tabs>
          <w:tab w:val="left" w:pos="720"/>
        </w:tabs>
        <w:spacing w:line="276" w:lineRule="auto"/>
        <w:jc w:val="both"/>
        <w:rPr>
          <w:rFonts w:ascii="Avenir Book" w:hAnsi="Avenir Book"/>
        </w:rPr>
      </w:pPr>
      <w:r w:rsidRPr="007F6D3B">
        <w:rPr>
          <w:rFonts w:ascii="Avenir Book" w:hAnsi="Avenir Book"/>
        </w:rPr>
        <w:t xml:space="preserve">Across sites, </w:t>
      </w:r>
      <w:r w:rsidR="009425C1">
        <w:rPr>
          <w:rFonts w:ascii="Avenir Book" w:hAnsi="Avenir Book"/>
        </w:rPr>
        <w:t xml:space="preserve">September </w:t>
      </w:r>
      <w:r w:rsidRPr="007F6D3B">
        <w:rPr>
          <w:rFonts w:ascii="Avenir Book" w:hAnsi="Avenir Book"/>
        </w:rPr>
        <w:t xml:space="preserve">2021 had </w:t>
      </w:r>
      <w:r w:rsidR="009425C1">
        <w:rPr>
          <w:rFonts w:ascii="Avenir Book" w:hAnsi="Avenir Book"/>
        </w:rPr>
        <w:t xml:space="preserve">slightly </w:t>
      </w:r>
      <w:r w:rsidRPr="007F6D3B">
        <w:rPr>
          <w:rFonts w:ascii="Avenir Book" w:hAnsi="Avenir Book"/>
        </w:rPr>
        <w:t xml:space="preserve">higher </w:t>
      </w:r>
      <w:r w:rsidR="0009661B" w:rsidRPr="007F6D3B">
        <w:rPr>
          <w:rFonts w:ascii="Avenir Book" w:hAnsi="Avenir Book"/>
        </w:rPr>
        <w:t xml:space="preserve">queen conch </w:t>
      </w:r>
      <w:r w:rsidR="009425C1" w:rsidRPr="007F6D3B">
        <w:rPr>
          <w:rFonts w:ascii="Avenir Book" w:hAnsi="Avenir Book"/>
        </w:rPr>
        <w:t xml:space="preserve">abundance </w:t>
      </w:r>
      <w:r w:rsidR="009425C1">
        <w:rPr>
          <w:rFonts w:ascii="Avenir Book" w:hAnsi="Avenir Book"/>
        </w:rPr>
        <w:t>with</w:t>
      </w:r>
      <w:r w:rsidRPr="007F6D3B">
        <w:rPr>
          <w:rFonts w:ascii="Avenir Book" w:hAnsi="Avenir Book"/>
        </w:rPr>
        <w:t xml:space="preserve"> </w:t>
      </w:r>
      <w:r w:rsidR="009425C1">
        <w:rPr>
          <w:rFonts w:ascii="Avenir Book" w:hAnsi="Avenir Book"/>
        </w:rPr>
        <w:t>only 7 sites below 100 conch per Ha, while July</w:t>
      </w:r>
      <w:r w:rsidR="009425C1" w:rsidRPr="007F6D3B">
        <w:rPr>
          <w:rFonts w:ascii="Avenir Book" w:hAnsi="Avenir Book"/>
        </w:rPr>
        <w:t xml:space="preserve"> 2021</w:t>
      </w:r>
      <w:r w:rsidR="009425C1">
        <w:rPr>
          <w:rFonts w:ascii="Avenir Book" w:hAnsi="Avenir Book"/>
        </w:rPr>
        <w:t xml:space="preserve"> had 11 sites with abundance below 100 (Figure 3). T</w:t>
      </w:r>
      <w:r w:rsidRPr="007F6D3B">
        <w:rPr>
          <w:rFonts w:ascii="Avenir Book" w:hAnsi="Avenir Book"/>
        </w:rPr>
        <w:t>he</w:t>
      </w:r>
      <w:r w:rsidR="0009661B" w:rsidRPr="007F6D3B">
        <w:rPr>
          <w:rFonts w:ascii="Avenir Book" w:hAnsi="Avenir Book"/>
        </w:rPr>
        <w:t xml:space="preserve"> highest abundances</w:t>
      </w:r>
      <w:r w:rsidR="009425C1">
        <w:rPr>
          <w:rFonts w:ascii="Avenir Book" w:hAnsi="Avenir Book"/>
        </w:rPr>
        <w:t xml:space="preserve"> were</w:t>
      </w:r>
      <w:r w:rsidR="0009661B" w:rsidRPr="007F6D3B">
        <w:rPr>
          <w:rFonts w:ascii="Avenir Book" w:hAnsi="Avenir Book"/>
        </w:rPr>
        <w:t xml:space="preserve"> at Flowers Bank in July, and Bank 2 and London Bank in September (Figure 3). At most sites, abundance was below </w:t>
      </w:r>
      <w:r w:rsidR="009425C1">
        <w:rPr>
          <w:rFonts w:ascii="Avenir Book" w:hAnsi="Avenir Book"/>
        </w:rPr>
        <w:t>1</w:t>
      </w:r>
      <w:r w:rsidR="0009661B" w:rsidRPr="007F6D3B">
        <w:rPr>
          <w:rFonts w:ascii="Avenir Book" w:hAnsi="Avenir Book"/>
        </w:rPr>
        <w:t>00 conch per Ha</w:t>
      </w:r>
      <w:r w:rsidR="009425C1">
        <w:rPr>
          <w:rFonts w:ascii="Avenir Book" w:hAnsi="Avenir Book"/>
        </w:rPr>
        <w:t>.</w:t>
      </w:r>
      <w:r w:rsidR="00D554BC">
        <w:rPr>
          <w:rFonts w:ascii="Avenir Book" w:hAnsi="Avenir Book"/>
        </w:rPr>
        <w:t xml:space="preserve"> Shell length varied slightly across the sites for both months. In July, four sites had a mean shell length below the legal limit of 17.8 cm, while in September 2021</w:t>
      </w:r>
      <w:r w:rsidR="00C375BD">
        <w:rPr>
          <w:rFonts w:ascii="Avenir Book" w:hAnsi="Avenir Book"/>
        </w:rPr>
        <w:t>,</w:t>
      </w:r>
      <w:r w:rsidR="00D554BC">
        <w:rPr>
          <w:rFonts w:ascii="Avenir Book" w:hAnsi="Avenir Book"/>
        </w:rPr>
        <w:t xml:space="preserve"> for all sites</w:t>
      </w:r>
      <w:r w:rsidR="00C375BD">
        <w:rPr>
          <w:rFonts w:ascii="Avenir Book" w:hAnsi="Avenir Book"/>
        </w:rPr>
        <w:t>,</w:t>
      </w:r>
      <w:r w:rsidR="00D554BC">
        <w:rPr>
          <w:rFonts w:ascii="Avenir Book" w:hAnsi="Avenir Book"/>
        </w:rPr>
        <w:t xml:space="preserve"> the mean shell length was above 17.8 cm (Figure 4). The largest size conchs were found at East Snake Bank, East Snake </w:t>
      </w:r>
      <w:proofErr w:type="spellStart"/>
      <w:r w:rsidR="00D554BC">
        <w:rPr>
          <w:rFonts w:ascii="Avenir Book" w:hAnsi="Avenir Book"/>
        </w:rPr>
        <w:t>Caye</w:t>
      </w:r>
      <w:proofErr w:type="spellEnd"/>
      <w:r w:rsidR="00D554BC">
        <w:rPr>
          <w:rFonts w:ascii="Avenir Book" w:hAnsi="Avenir Book"/>
        </w:rPr>
        <w:t xml:space="preserve">, South Snake </w:t>
      </w:r>
      <w:proofErr w:type="spellStart"/>
      <w:r w:rsidR="00D554BC">
        <w:rPr>
          <w:rFonts w:ascii="Avenir Book" w:hAnsi="Avenir Book"/>
        </w:rPr>
        <w:t>Caye</w:t>
      </w:r>
      <w:proofErr w:type="spellEnd"/>
      <w:r w:rsidR="00D554BC">
        <w:rPr>
          <w:rFonts w:ascii="Avenir Book" w:hAnsi="Avenir Book"/>
        </w:rPr>
        <w:t xml:space="preserve"> and Flowers Bank in September 2021. The largest sizes during July were found at Middle Snake, Frenchman and South Snake </w:t>
      </w:r>
      <w:proofErr w:type="spellStart"/>
      <w:r w:rsidR="00D554BC">
        <w:rPr>
          <w:rFonts w:ascii="Avenir Book" w:hAnsi="Avenir Book"/>
        </w:rPr>
        <w:t>Caye</w:t>
      </w:r>
      <w:proofErr w:type="spellEnd"/>
      <w:r w:rsidR="00D554BC">
        <w:rPr>
          <w:rFonts w:ascii="Avenir Book" w:hAnsi="Avenir Book"/>
        </w:rPr>
        <w:t xml:space="preserve">-North. </w:t>
      </w:r>
      <w:r w:rsidR="006C46A6">
        <w:rPr>
          <w:rFonts w:ascii="Avenir Book" w:hAnsi="Avenir Book"/>
        </w:rPr>
        <w:t xml:space="preserve">When lip thickness was compared across sites for July and September, </w:t>
      </w:r>
      <w:r w:rsidR="00DD099B">
        <w:rPr>
          <w:rFonts w:ascii="Avenir Book" w:hAnsi="Avenir Book"/>
        </w:rPr>
        <w:t>September generally had conch with larger lip thickness. T</w:t>
      </w:r>
      <w:r w:rsidR="006C46A6">
        <w:rPr>
          <w:rFonts w:ascii="Avenir Book" w:hAnsi="Avenir Book"/>
        </w:rPr>
        <w:t xml:space="preserve">here </w:t>
      </w:r>
      <w:r w:rsidR="00DD099B">
        <w:rPr>
          <w:rFonts w:ascii="Avenir Book" w:hAnsi="Avenir Book"/>
        </w:rPr>
        <w:t>were more</w:t>
      </w:r>
      <w:r w:rsidR="006C46A6">
        <w:rPr>
          <w:rFonts w:ascii="Avenir Book" w:hAnsi="Avenir Book"/>
        </w:rPr>
        <w:t xml:space="preserve"> sites with lip thickness </w:t>
      </w:r>
      <w:r w:rsidR="00DD099B">
        <w:rPr>
          <w:rFonts w:ascii="Avenir Book" w:hAnsi="Avenir Book"/>
        </w:rPr>
        <w:t xml:space="preserve">below </w:t>
      </w:r>
      <w:r w:rsidR="006C46A6">
        <w:rPr>
          <w:rFonts w:ascii="Avenir Book" w:hAnsi="Avenir Book"/>
        </w:rPr>
        <w:t xml:space="preserve">1 mm </w:t>
      </w:r>
      <w:r w:rsidR="00DD099B">
        <w:rPr>
          <w:rFonts w:ascii="Avenir Book" w:hAnsi="Avenir Book"/>
        </w:rPr>
        <w:t>in</w:t>
      </w:r>
      <w:r w:rsidR="006C46A6">
        <w:rPr>
          <w:rFonts w:ascii="Avenir Book" w:hAnsi="Avenir Book"/>
        </w:rPr>
        <w:t xml:space="preserve"> July than in September, 8 sites versus 2 sites (Figure 5). Only one site in July 2021 had lip thickness above 10 mm</w:t>
      </w:r>
      <w:r w:rsidR="00D26BEA">
        <w:rPr>
          <w:rFonts w:ascii="Avenir Book" w:hAnsi="Avenir Book"/>
        </w:rPr>
        <w:t xml:space="preserve"> (South Snake </w:t>
      </w:r>
      <w:proofErr w:type="spellStart"/>
      <w:r w:rsidR="00D26BEA">
        <w:rPr>
          <w:rFonts w:ascii="Avenir Book" w:hAnsi="Avenir Book"/>
        </w:rPr>
        <w:t>Caye</w:t>
      </w:r>
      <w:proofErr w:type="spellEnd"/>
      <w:r w:rsidR="00D26BEA">
        <w:rPr>
          <w:rFonts w:ascii="Avenir Book" w:hAnsi="Avenir Book"/>
        </w:rPr>
        <w:t>) while</w:t>
      </w:r>
      <w:r w:rsidR="006C46A6">
        <w:rPr>
          <w:rFonts w:ascii="Avenir Book" w:hAnsi="Avenir Book"/>
        </w:rPr>
        <w:t xml:space="preserve"> three sites had lip thickness above 10 mm in September</w:t>
      </w:r>
      <w:r w:rsidR="00D26BEA">
        <w:rPr>
          <w:rFonts w:ascii="Avenir Book" w:hAnsi="Avenir Book"/>
        </w:rPr>
        <w:t xml:space="preserve">, with East Snake </w:t>
      </w:r>
      <w:proofErr w:type="spellStart"/>
      <w:r w:rsidR="00D26BEA">
        <w:rPr>
          <w:rFonts w:ascii="Avenir Book" w:hAnsi="Avenir Book"/>
        </w:rPr>
        <w:t>Caye</w:t>
      </w:r>
      <w:proofErr w:type="spellEnd"/>
      <w:r w:rsidR="00D26BEA">
        <w:rPr>
          <w:rFonts w:ascii="Avenir Book" w:hAnsi="Avenir Book"/>
        </w:rPr>
        <w:t xml:space="preserve"> having the largest lip thickness (Figure 5)</w:t>
      </w:r>
      <w:r w:rsidR="006C46A6">
        <w:rPr>
          <w:rFonts w:ascii="Avenir Book" w:hAnsi="Avenir Book"/>
        </w:rPr>
        <w:t>.</w:t>
      </w:r>
      <w:r w:rsidR="00DD099B">
        <w:rPr>
          <w:rFonts w:ascii="Avenir Book" w:hAnsi="Avenir Book"/>
        </w:rPr>
        <w:t xml:space="preserve"> </w:t>
      </w:r>
    </w:p>
    <w:p w14:paraId="23AF272D" w14:textId="77777777" w:rsidR="004B0FFB" w:rsidRDefault="004B0FFB" w:rsidP="004B0FFB">
      <w:pPr>
        <w:tabs>
          <w:tab w:val="left" w:pos="720"/>
        </w:tabs>
        <w:spacing w:line="276" w:lineRule="auto"/>
        <w:jc w:val="both"/>
        <w:rPr>
          <w:rFonts w:ascii="Avenir Book" w:hAnsi="Avenir Book"/>
        </w:rPr>
      </w:pPr>
    </w:p>
    <w:p w14:paraId="4DF3A3A4" w14:textId="2413E3DB" w:rsidR="00415F7F" w:rsidRPr="007F6D3B" w:rsidRDefault="00DD099B" w:rsidP="004B0FFB">
      <w:pPr>
        <w:tabs>
          <w:tab w:val="left" w:pos="720"/>
        </w:tabs>
        <w:spacing w:line="276" w:lineRule="auto"/>
        <w:jc w:val="both"/>
        <w:rPr>
          <w:rFonts w:ascii="Avenir Book" w:hAnsi="Avenir Book"/>
        </w:rPr>
      </w:pPr>
      <w:r>
        <w:rPr>
          <w:rFonts w:ascii="Avenir Book" w:hAnsi="Avenir Book"/>
        </w:rPr>
        <w:t xml:space="preserve">Size distribution analysis of shell length showed that the majority of conch was between 15.1 to 22.5 cm in July at the end of the open season, and at the end of the closed season </w:t>
      </w:r>
      <w:r w:rsidR="006848CD">
        <w:rPr>
          <w:rFonts w:ascii="Avenir Book" w:hAnsi="Avenir Book"/>
        </w:rPr>
        <w:t xml:space="preserve">(September) </w:t>
      </w:r>
      <w:r>
        <w:rPr>
          <w:rFonts w:ascii="Avenir Book" w:hAnsi="Avenir Book"/>
        </w:rPr>
        <w:t xml:space="preserve">the majority were between 20.1 to 27.5 cm, indicating that September had </w:t>
      </w:r>
      <w:r w:rsidR="004B0FFB">
        <w:rPr>
          <w:rFonts w:ascii="Avenir Book" w:hAnsi="Avenir Book"/>
        </w:rPr>
        <w:t>larger</w:t>
      </w:r>
      <w:r>
        <w:rPr>
          <w:rFonts w:ascii="Avenir Book" w:hAnsi="Avenir Book"/>
        </w:rPr>
        <w:t xml:space="preserve"> conch than July (Figure 6</w:t>
      </w:r>
      <w:r w:rsidR="004B0FFB">
        <w:rPr>
          <w:rFonts w:ascii="Avenir Book" w:hAnsi="Avenir Book"/>
        </w:rPr>
        <w:t>A, B</w:t>
      </w:r>
      <w:r>
        <w:rPr>
          <w:rFonts w:ascii="Avenir Book" w:hAnsi="Avenir Book"/>
        </w:rPr>
        <w:t>).</w:t>
      </w:r>
      <w:r w:rsidR="004B0FFB">
        <w:rPr>
          <w:rFonts w:ascii="Avenir Book" w:hAnsi="Avenir Book"/>
        </w:rPr>
        <w:t xml:space="preserve"> Size distribution for lip thickness showed that for both July and September </w:t>
      </w:r>
      <w:r w:rsidR="004B0FFB">
        <w:rPr>
          <w:rFonts w:ascii="Avenir Book" w:hAnsi="Avenir Book"/>
        </w:rPr>
        <w:lastRenderedPageBreak/>
        <w:t>the majority of conch had no lip (Figure 7A, B). However, September had less conch without a flared lip and more conch with lip thickness 1-9 mm and &gt;10mm (Figure B).</w:t>
      </w:r>
      <w:r w:rsidR="00541342">
        <w:rPr>
          <w:rFonts w:ascii="Avenir Book" w:hAnsi="Avenir Book"/>
        </w:rPr>
        <w:t xml:space="preserve"> </w:t>
      </w:r>
    </w:p>
    <w:p w14:paraId="47FF50C0" w14:textId="77777777" w:rsidR="00415F7F" w:rsidRPr="007F6D3B" w:rsidRDefault="00415F7F" w:rsidP="00415F7F">
      <w:pPr>
        <w:rPr>
          <w:rFonts w:ascii="Avenir Book" w:hAnsi="Avenir Book"/>
        </w:rPr>
      </w:pPr>
    </w:p>
    <w:p w14:paraId="20715A8D" w14:textId="360FFAC9" w:rsidR="00415F7F" w:rsidRDefault="004B0FFB" w:rsidP="00541342">
      <w:pPr>
        <w:spacing w:line="276" w:lineRule="auto"/>
        <w:jc w:val="both"/>
        <w:rPr>
          <w:rFonts w:ascii="Avenir Book" w:hAnsi="Avenir Book"/>
        </w:rPr>
      </w:pPr>
      <w:r w:rsidRPr="00541342">
        <w:rPr>
          <w:rFonts w:ascii="Avenir Book" w:hAnsi="Avenir Book"/>
        </w:rPr>
        <w:t>Queen conch abundance, shell length and lip thickness were compared across the management zones of the PHMR to present and highlight trends. Abundance was generally highest in the general use zone, followed by the replenishment zones then outside the reserve (Figure 8</w:t>
      </w:r>
      <w:r w:rsidR="00E8642D" w:rsidRPr="00541342">
        <w:rPr>
          <w:rFonts w:ascii="Avenir Book" w:hAnsi="Avenir Book"/>
        </w:rPr>
        <w:t>A</w:t>
      </w:r>
      <w:r w:rsidRPr="00541342">
        <w:rPr>
          <w:rFonts w:ascii="Avenir Book" w:hAnsi="Avenir Book"/>
        </w:rPr>
        <w:t xml:space="preserve">). </w:t>
      </w:r>
      <w:r w:rsidR="00E8642D" w:rsidRPr="00541342">
        <w:rPr>
          <w:rFonts w:ascii="Avenir Book" w:hAnsi="Avenir Book"/>
        </w:rPr>
        <w:t xml:space="preserve"> Densities at the start of the closed season (July) were higher than those at the end of the </w:t>
      </w:r>
      <w:r w:rsidR="0060683C">
        <w:rPr>
          <w:rFonts w:ascii="Avenir Book" w:hAnsi="Avenir Book"/>
        </w:rPr>
        <w:t xml:space="preserve">closed </w:t>
      </w:r>
      <w:r w:rsidR="00E8642D" w:rsidRPr="00541342">
        <w:rPr>
          <w:rFonts w:ascii="Avenir Book" w:hAnsi="Avenir Book"/>
        </w:rPr>
        <w:t>season (September) except for sites outside the marine reserve (8A).</w:t>
      </w:r>
      <w:r w:rsidR="00541342" w:rsidRPr="00541342">
        <w:rPr>
          <w:rFonts w:ascii="Avenir Book" w:hAnsi="Avenir Book"/>
        </w:rPr>
        <w:t xml:space="preserve"> Shell length was fairly similar across the zones for both surveys, with the end of the closed season (September) having a larger mean shell length than the start of the closed season (July) (Figure 8B). Lip thickness varied across the zones with the largest lipped conchs in the replenishment zones, followed by the general use zone and then outside the marine reserve (Figure 8C).</w:t>
      </w:r>
      <w:r w:rsidR="00541342">
        <w:rPr>
          <w:rFonts w:ascii="Avenir Book" w:hAnsi="Avenir Book"/>
        </w:rPr>
        <w:t xml:space="preserve"> Once again, mean lip thickness was greater at the end of the closed season (September) than at the start of the closed season (July).</w:t>
      </w:r>
      <w:r w:rsidR="005C5353">
        <w:rPr>
          <w:rFonts w:ascii="Avenir Book" w:hAnsi="Avenir Book"/>
        </w:rPr>
        <w:t xml:space="preserve"> </w:t>
      </w:r>
    </w:p>
    <w:p w14:paraId="4B32F480" w14:textId="77777777" w:rsidR="005C5353" w:rsidRDefault="005C5353" w:rsidP="00541342">
      <w:pPr>
        <w:spacing w:line="276" w:lineRule="auto"/>
        <w:jc w:val="both"/>
        <w:rPr>
          <w:rFonts w:ascii="Avenir Book" w:hAnsi="Avenir Book"/>
        </w:rPr>
      </w:pPr>
    </w:p>
    <w:p w14:paraId="65DACA75" w14:textId="3245156F" w:rsidR="005C5353" w:rsidRPr="00541342" w:rsidRDefault="005C5353" w:rsidP="00541342">
      <w:pPr>
        <w:spacing w:line="276" w:lineRule="auto"/>
        <w:jc w:val="both"/>
        <w:rPr>
          <w:rFonts w:ascii="Avenir Book" w:hAnsi="Avenir Book"/>
        </w:rPr>
        <w:sectPr w:rsidR="005C5353" w:rsidRPr="00541342" w:rsidSect="00E62735">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space="720"/>
          <w:docGrid w:linePitch="360"/>
        </w:sectPr>
      </w:pPr>
      <w:r>
        <w:rPr>
          <w:rFonts w:ascii="Avenir Book" w:hAnsi="Avenir Book"/>
        </w:rPr>
        <w:t xml:space="preserve">Lastly, data from 2020 was compared with this year, 2021. This was only a comparison between the start of the closed seasons for both years, since data was not collected for PHMR in </w:t>
      </w:r>
      <w:r w:rsidR="00D8427C">
        <w:rPr>
          <w:rFonts w:ascii="Avenir Book" w:hAnsi="Avenir Book"/>
        </w:rPr>
        <w:t>September</w:t>
      </w:r>
      <w:r w:rsidR="008A0E44">
        <w:rPr>
          <w:rFonts w:ascii="Avenir Book" w:hAnsi="Avenir Book"/>
        </w:rPr>
        <w:t xml:space="preserve"> of 2020.  The</w:t>
      </w:r>
      <w:r w:rsidR="001A0659">
        <w:rPr>
          <w:rFonts w:ascii="Avenir Book" w:hAnsi="Avenir Book"/>
        </w:rPr>
        <w:t>re was more queen conch in 2021 than in 2020 at the end of the fishing or open season (Figure 9).  Shell length was relatively the same between those two years, with lip thickness in 2021 being slightly less than 2020 (Figure</w:t>
      </w:r>
      <w:r w:rsidR="00C375BD">
        <w:rPr>
          <w:rFonts w:ascii="Avenir Book" w:hAnsi="Avenir Book"/>
        </w:rPr>
        <w:t xml:space="preserve"> 9</w:t>
      </w:r>
      <w:r w:rsidR="001A0659">
        <w:rPr>
          <w:rFonts w:ascii="Avenir Book" w:hAnsi="Avenir Book"/>
        </w:rPr>
        <w:t>).</w:t>
      </w:r>
    </w:p>
    <w:p w14:paraId="549512A5" w14:textId="77777777" w:rsidR="00364E6E" w:rsidRPr="00541342" w:rsidRDefault="00364E6E" w:rsidP="00541342">
      <w:pPr>
        <w:pStyle w:val="Caption"/>
        <w:spacing w:line="276" w:lineRule="auto"/>
        <w:ind w:firstLine="0"/>
        <w:jc w:val="both"/>
        <w:rPr>
          <w:rFonts w:ascii="Avenir Book" w:hAnsi="Avenir Book"/>
          <w:sz w:val="22"/>
          <w:szCs w:val="22"/>
        </w:rPr>
      </w:pPr>
    </w:p>
    <w:p w14:paraId="470AEED8" w14:textId="5264DA59" w:rsidR="00364E6E" w:rsidRPr="00364E6E" w:rsidRDefault="0020318F" w:rsidP="0060683C">
      <w:pPr>
        <w:pStyle w:val="Caption"/>
        <w:ind w:firstLine="0"/>
      </w:pPr>
      <w:r>
        <w:t xml:space="preserve">Table 1 </w:t>
      </w:r>
      <w:r w:rsidR="000C75D1" w:rsidRPr="00063E1B">
        <w:t>Summary of Shell Length (SL)</w:t>
      </w:r>
      <w:r w:rsidR="00277A18">
        <w:t xml:space="preserve"> in cm</w:t>
      </w:r>
      <w:r w:rsidR="000C75D1" w:rsidRPr="00063E1B">
        <w:t>, Lip Thickness (L</w:t>
      </w:r>
      <w:r w:rsidR="00277A18">
        <w:t>T</w:t>
      </w:r>
      <w:r w:rsidR="000C75D1" w:rsidRPr="00063E1B">
        <w:t>)</w:t>
      </w:r>
      <w:r w:rsidR="00277A18">
        <w:t xml:space="preserve"> in mm</w:t>
      </w:r>
      <w:r w:rsidR="000C75D1" w:rsidRPr="00063E1B">
        <w:t xml:space="preserve">, and </w:t>
      </w:r>
      <w:r w:rsidR="0060683C">
        <w:t>D</w:t>
      </w:r>
      <w:r w:rsidR="000C75D1" w:rsidRPr="00063E1B">
        <w:t>ensity (</w:t>
      </w:r>
      <w:r w:rsidR="000C75D1">
        <w:t>h</w:t>
      </w:r>
      <w:r w:rsidR="000C75D1" w:rsidRPr="00063E1B">
        <w:t>a</w:t>
      </w:r>
      <w:r w:rsidR="000C75D1" w:rsidRPr="005B3183">
        <w:rPr>
          <w:vertAlign w:val="superscript"/>
        </w:rPr>
        <w:t>-1</w:t>
      </w:r>
      <w:r w:rsidR="000C75D1" w:rsidRPr="00063E1B">
        <w:t xml:space="preserve">) from </w:t>
      </w:r>
      <w:r w:rsidR="003454DE" w:rsidRPr="00063E1B">
        <w:t>twenty</w:t>
      </w:r>
      <w:r w:rsidR="003454DE">
        <w:t>-one</w:t>
      </w:r>
      <w:r w:rsidR="000C75D1" w:rsidRPr="00063E1B">
        <w:t xml:space="preserve"> long-term monitoring sites in </w:t>
      </w:r>
      <w:r w:rsidR="000C75D1">
        <w:t xml:space="preserve">the </w:t>
      </w:r>
      <w:r w:rsidR="000C75D1" w:rsidRPr="00063E1B">
        <w:t>Port Honduras Marine Reserve</w:t>
      </w:r>
      <w:r w:rsidR="000C75D1">
        <w:t>.</w:t>
      </w:r>
    </w:p>
    <w:p w14:paraId="2FA78A77" w14:textId="5AF000E4" w:rsidR="009D7AEE" w:rsidRPr="00325B61" w:rsidRDefault="007C5DAB" w:rsidP="00751FE6">
      <w:pPr>
        <w:spacing w:line="276" w:lineRule="auto"/>
        <w:ind w:firstLine="0"/>
        <w:jc w:val="both"/>
        <w:rPr>
          <w:rFonts w:ascii="Avenir Book" w:hAnsi="Avenir Book" w:cs="Bangla MN"/>
          <w:b/>
          <w:bCs/>
        </w:rPr>
      </w:pPr>
      <w:r w:rsidRPr="007C5DAB">
        <w:rPr>
          <w:rFonts w:ascii="Avenir Book" w:hAnsi="Avenir Book" w:cs="Bangla MN"/>
          <w:b/>
          <w:bCs/>
          <w:noProof/>
        </w:rPr>
        <w:drawing>
          <wp:inline distT="0" distB="0" distL="0" distR="0" wp14:anchorId="445F05B7" wp14:editId="4174F593">
            <wp:extent cx="4804968" cy="3235139"/>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0200" cy="3245394"/>
                    </a:xfrm>
                    <a:prstGeom prst="rect">
                      <a:avLst/>
                    </a:prstGeom>
                  </pic:spPr>
                </pic:pic>
              </a:graphicData>
            </a:graphic>
          </wp:inline>
        </w:drawing>
      </w:r>
    </w:p>
    <w:p w14:paraId="7C052D51" w14:textId="6DA86A58" w:rsidR="009D7AEE" w:rsidRPr="00325B61" w:rsidRDefault="009D7AEE" w:rsidP="00751FE6">
      <w:pPr>
        <w:spacing w:line="276" w:lineRule="auto"/>
        <w:ind w:firstLine="0"/>
        <w:jc w:val="both"/>
        <w:rPr>
          <w:rFonts w:ascii="Avenir Book" w:hAnsi="Avenir Book" w:cs="Bangla MN"/>
          <w:b/>
          <w:bCs/>
        </w:rPr>
      </w:pPr>
    </w:p>
    <w:p w14:paraId="71049DCA" w14:textId="386F94D2" w:rsidR="009D7AEE" w:rsidRDefault="00451EFC" w:rsidP="00751FE6">
      <w:pPr>
        <w:spacing w:line="276" w:lineRule="auto"/>
        <w:ind w:firstLine="0"/>
        <w:jc w:val="both"/>
        <w:rPr>
          <w:rFonts w:ascii="Bangla MN" w:hAnsi="Bangla MN" w:cs="Bangla MN"/>
          <w:b/>
          <w:bCs/>
          <w:sz w:val="28"/>
          <w:szCs w:val="28"/>
        </w:rPr>
      </w:pPr>
      <w:r>
        <w:rPr>
          <w:noProof/>
        </w:rPr>
        <w:drawing>
          <wp:inline distT="0" distB="0" distL="0" distR="0" wp14:anchorId="2BAD0725" wp14:editId="3EFDDC06">
            <wp:extent cx="4764199" cy="34596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2736" cy="3465843"/>
                    </a:xfrm>
                    <a:prstGeom prst="rect">
                      <a:avLst/>
                    </a:prstGeom>
                  </pic:spPr>
                </pic:pic>
              </a:graphicData>
            </a:graphic>
          </wp:inline>
        </w:drawing>
      </w:r>
    </w:p>
    <w:p w14:paraId="2B485605" w14:textId="396B9C81" w:rsidR="00364E6E" w:rsidRPr="00E90274" w:rsidRDefault="00630FCB" w:rsidP="00751FE6">
      <w:pPr>
        <w:pStyle w:val="Caption"/>
        <w:tabs>
          <w:tab w:val="left" w:pos="360"/>
        </w:tabs>
        <w:ind w:firstLine="0"/>
      </w:pPr>
      <w:r w:rsidRPr="00063E1B">
        <w:t xml:space="preserve">Figure </w:t>
      </w:r>
      <w:r>
        <w:t>3</w:t>
      </w:r>
      <w:r w:rsidRPr="00063E1B">
        <w:t xml:space="preserve"> </w:t>
      </w:r>
      <w:r w:rsidR="000C75D1" w:rsidRPr="00063E1B">
        <w:t xml:space="preserve">Abundance of queen conch </w:t>
      </w:r>
      <w:r w:rsidR="000C75D1">
        <w:t>ha</w:t>
      </w:r>
      <w:r w:rsidR="000C75D1" w:rsidRPr="005B3183">
        <w:rPr>
          <w:vertAlign w:val="superscript"/>
        </w:rPr>
        <w:t>-1</w:t>
      </w:r>
      <w:r w:rsidR="000C75D1" w:rsidRPr="00063E1B">
        <w:t xml:space="preserve"> at the twenty</w:t>
      </w:r>
      <w:r w:rsidR="003454DE">
        <w:t>-one</w:t>
      </w:r>
      <w:r w:rsidR="000C75D1" w:rsidRPr="00063E1B">
        <w:t xml:space="preserve"> sites surveyed within the PHMR in 202</w:t>
      </w:r>
      <w:r w:rsidR="003454DE">
        <w:t>1</w:t>
      </w:r>
      <w:r w:rsidR="000C75D1" w:rsidRPr="00063E1B">
        <w:t xml:space="preserve"> (GUZ-General Use Zone, RZ-Replenishment Zone, OUT-Outside Reserve)</w:t>
      </w:r>
      <w:r w:rsidR="003454DE">
        <w:t xml:space="preserve">, at the start of the closed season (July 2021) and the end of the closed season (Sept 2021). </w:t>
      </w:r>
    </w:p>
    <w:p w14:paraId="4706A7BE" w14:textId="6685B3B0" w:rsidR="006E5A8F" w:rsidRDefault="00451EFC" w:rsidP="00751FE6">
      <w:pPr>
        <w:spacing w:line="276" w:lineRule="auto"/>
        <w:ind w:firstLine="0"/>
        <w:jc w:val="both"/>
        <w:rPr>
          <w:rFonts w:ascii="Bangla MN" w:hAnsi="Bangla MN" w:cs="Bangla MN"/>
          <w:b/>
          <w:bCs/>
          <w:sz w:val="28"/>
          <w:szCs w:val="28"/>
        </w:rPr>
      </w:pPr>
      <w:r>
        <w:rPr>
          <w:noProof/>
        </w:rPr>
        <mc:AlternateContent>
          <mc:Choice Requires="wpg">
            <w:drawing>
              <wp:anchor distT="0" distB="0" distL="114300" distR="114300" simplePos="0" relativeHeight="251684864" behindDoc="0" locked="0" layoutInCell="1" allowOverlap="1" wp14:anchorId="3B5070B7" wp14:editId="2BEEA0EE">
                <wp:simplePos x="0" y="0"/>
                <wp:positionH relativeFrom="column">
                  <wp:posOffset>488950</wp:posOffset>
                </wp:positionH>
                <wp:positionV relativeFrom="paragraph">
                  <wp:posOffset>669290</wp:posOffset>
                </wp:positionV>
                <wp:extent cx="4180840" cy="327025"/>
                <wp:effectExtent l="0" t="0" r="22860" b="15875"/>
                <wp:wrapNone/>
                <wp:docPr id="12" name="Group 12"/>
                <wp:cNvGraphicFramePr/>
                <a:graphic xmlns:a="http://schemas.openxmlformats.org/drawingml/2006/main">
                  <a:graphicData uri="http://schemas.microsoft.com/office/word/2010/wordprocessingGroup">
                    <wpg:wgp>
                      <wpg:cNvGrpSpPr/>
                      <wpg:grpSpPr>
                        <a:xfrm>
                          <a:off x="0" y="0"/>
                          <a:ext cx="4180840" cy="327025"/>
                          <a:chOff x="0" y="0"/>
                          <a:chExt cx="4181394" cy="327103"/>
                        </a:xfrm>
                      </wpg:grpSpPr>
                      <wps:wsp>
                        <wps:cNvPr id="9" name="Straight Connector 9"/>
                        <wps:cNvCnPr/>
                        <wps:spPr>
                          <a:xfrm flipV="1">
                            <a:off x="0" y="327103"/>
                            <a:ext cx="4181394"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H="1">
                            <a:off x="3446934" y="0"/>
                            <a:ext cx="74342" cy="327103"/>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21C9EE" id="Group 12" o:spid="_x0000_s1026" style="position:absolute;margin-left:38.5pt;margin-top:52.7pt;width:329.2pt;height:25.75pt;z-index:251684864" coordsize="41813,32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">
                <v:line id="Straight Connector 9" o:spid="_x0000_s1027" style="position:absolute;flip:y;visibility:visible;mso-wrap-style:square" from="0,3271" to="41813,3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" strokecolor="red" strokeweight=".5pt"/>
                <v:line id="Straight Connector 11" o:spid="_x0000_s1028" style="position:absolute;flip:x;visibility:visible;mso-wrap-style:square" from="34469,0" to="35212,3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" strokecolor="#1cade4 [3204]" strokeweight=".5pt"/>
              </v:group>
            </w:pict>
          </mc:Fallback>
        </mc:AlternateContent>
      </w:r>
      <w:r>
        <w:rPr>
          <w:noProof/>
        </w:rPr>
        <mc:AlternateContent>
          <mc:Choice Requires="wps">
            <w:drawing>
              <wp:anchor distT="0" distB="0" distL="114300" distR="114300" simplePos="0" relativeHeight="251647999" behindDoc="0" locked="0" layoutInCell="1" allowOverlap="1" wp14:anchorId="2DB03B56" wp14:editId="7CA0A0A0">
                <wp:simplePos x="0" y="0"/>
                <wp:positionH relativeFrom="column">
                  <wp:posOffset>3402844</wp:posOffset>
                </wp:positionH>
                <wp:positionV relativeFrom="paragraph">
                  <wp:posOffset>456229</wp:posOffset>
                </wp:positionV>
                <wp:extent cx="1162375" cy="215265"/>
                <wp:effectExtent l="0" t="0" r="6350" b="635"/>
                <wp:wrapNone/>
                <wp:docPr id="10" name="Text Box 10"/>
                <wp:cNvGraphicFramePr/>
                <a:graphic xmlns:a="http://schemas.openxmlformats.org/drawingml/2006/main">
                  <a:graphicData uri="http://schemas.microsoft.com/office/word/2010/wordprocessingShape">
                    <wps:wsp>
                      <wps:cNvSpPr txBox="1"/>
                      <wps:spPr>
                        <a:xfrm>
                          <a:off x="0" y="0"/>
                          <a:ext cx="1162375" cy="215265"/>
                        </a:xfrm>
                        <a:prstGeom prst="rect">
                          <a:avLst/>
                        </a:prstGeom>
                        <a:solidFill>
                          <a:schemeClr val="lt1"/>
                        </a:solidFill>
                        <a:ln w="6350">
                          <a:noFill/>
                        </a:ln>
                      </wps:spPr>
                      <wps:txbx>
                        <w:txbxContent>
                          <w:p w14:paraId="78F3B22F" w14:textId="0C81B790" w:rsidR="0009661B" w:rsidRPr="0009661B" w:rsidRDefault="0009661B">
                            <w:pPr>
                              <w:rPr>
                                <w:sz w:val="11"/>
                                <w:szCs w:val="11"/>
                              </w:rPr>
                            </w:pPr>
                            <w:r w:rsidRPr="0009661B">
                              <w:rPr>
                                <w:sz w:val="13"/>
                                <w:szCs w:val="13"/>
                              </w:rPr>
                              <w:t>Legal size 17.8 c</w:t>
                            </w:r>
                            <w:r>
                              <w:rPr>
                                <w:sz w:val="13"/>
                                <w:szCs w:val="13"/>
                              </w:rPr>
                              <w:t>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03B56" id="_x0000_t202" coordsize="21600,21600" o:spt="202" path="m,l,21600r21600,l21600,xe">
                <v:stroke joinstyle="miter"/>
                <v:path gradientshapeok="t" o:connecttype="rect"/>
              </v:shapetype>
              <v:shape id="Text Box 10" o:spid="_x0000_s1026" type="#_x0000_t202" style="position:absolute;left:0;text-align:left;margin-left:267.95pt;margin-top:35.9pt;width:91.55pt;height:16.95pt;z-index:25164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" fillcolor="white [3201]" stroked="f" strokeweight=".5pt">
                <v:textbox inset="0,,0">
                  <w:txbxContent>
                    <w:p w14:paraId="78F3B22F" w14:textId="0C81B790" w:rsidR="0009661B" w:rsidRPr="0009661B" w:rsidRDefault="0009661B">
                      <w:pPr>
                        <w:rPr>
                          <w:sz w:val="11"/>
                          <w:szCs w:val="11"/>
                        </w:rPr>
                      </w:pPr>
                      <w:r w:rsidRPr="0009661B">
                        <w:rPr>
                          <w:sz w:val="13"/>
                          <w:szCs w:val="13"/>
                        </w:rPr>
                        <w:t>Legal size 17.8 c</w:t>
                      </w:r>
                      <w:r>
                        <w:rPr>
                          <w:sz w:val="13"/>
                          <w:szCs w:val="13"/>
                        </w:rPr>
                        <w:t>m</w:t>
                      </w:r>
                    </w:p>
                  </w:txbxContent>
                </v:textbox>
              </v:shape>
            </w:pict>
          </mc:Fallback>
        </mc:AlternateContent>
      </w:r>
      <w:r>
        <w:rPr>
          <w:noProof/>
        </w:rPr>
        <w:drawing>
          <wp:inline distT="0" distB="0" distL="0" distR="0" wp14:anchorId="69A664C0" wp14:editId="393F15FB">
            <wp:extent cx="4763770" cy="34593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92668" cy="3480316"/>
                    </a:xfrm>
                    <a:prstGeom prst="rect">
                      <a:avLst/>
                    </a:prstGeom>
                  </pic:spPr>
                </pic:pic>
              </a:graphicData>
            </a:graphic>
          </wp:inline>
        </w:drawing>
      </w:r>
    </w:p>
    <w:p w14:paraId="5E3C6DE1" w14:textId="2CEA5AC6" w:rsidR="00FB5BD5" w:rsidRPr="00C40417" w:rsidRDefault="005960C7" w:rsidP="00E90274">
      <w:pPr>
        <w:pStyle w:val="Caption"/>
        <w:ind w:firstLine="0"/>
      </w:pPr>
      <w:r w:rsidRPr="00063E1B">
        <w:t xml:space="preserve">Figure </w:t>
      </w:r>
      <w:r w:rsidR="00C34936">
        <w:t>4</w:t>
      </w:r>
      <w:r w:rsidRPr="00063E1B">
        <w:t xml:space="preserve"> </w:t>
      </w:r>
      <w:r w:rsidR="000C75D1" w:rsidRPr="00063E1B">
        <w:t>Mean shell length (SL)</w:t>
      </w:r>
      <w:r w:rsidR="000C75D1">
        <w:t xml:space="preserve"> in </w:t>
      </w:r>
      <w:r w:rsidR="003454DE">
        <w:t>c</w:t>
      </w:r>
      <w:r w:rsidR="000C75D1">
        <w:t>m</w:t>
      </w:r>
      <w:r w:rsidR="000C75D1" w:rsidRPr="00063E1B">
        <w:t xml:space="preserve"> of queen conch surveyed at sites within the PHMR (GUZ-General Use Zone, RZ-Replenishment Zone, OUT-Outside Reserve) </w:t>
      </w:r>
      <w:r w:rsidR="000F0B45">
        <w:t>(</w:t>
      </w:r>
      <w:r w:rsidR="00D50655">
        <w:rPr>
          <w:rFonts w:ascii="Century Gothic" w:hAnsi="Century Gothic"/>
        </w:rPr>
        <w:t>±</w:t>
      </w:r>
      <w:r w:rsidR="000F0B45">
        <w:t>Standard Error bars),</w:t>
      </w:r>
      <w:r w:rsidR="00C34936">
        <w:t xml:space="preserve"> </w:t>
      </w:r>
      <w:r w:rsidR="003454DE">
        <w:t>at the start of the closed season (July 2021) and the end of the closed season (Sept 2021).</w:t>
      </w:r>
    </w:p>
    <w:p w14:paraId="7F6F8CB6" w14:textId="77777777" w:rsidR="00364E6E" w:rsidRDefault="00364E6E" w:rsidP="000F0B45">
      <w:pPr>
        <w:pStyle w:val="Caption"/>
      </w:pPr>
    </w:p>
    <w:p w14:paraId="2DD705F6" w14:textId="0B5AD60C" w:rsidR="003454DE" w:rsidRDefault="00EB1BF2" w:rsidP="00751FE6">
      <w:pPr>
        <w:pStyle w:val="Caption"/>
        <w:ind w:firstLine="0"/>
      </w:pPr>
      <w:r>
        <w:rPr>
          <w:noProof/>
        </w:rPr>
        <w:lastRenderedPageBreak/>
        <w:drawing>
          <wp:inline distT="0" distB="0" distL="0" distR="0" wp14:anchorId="36D23538" wp14:editId="443B21C3">
            <wp:extent cx="4583648" cy="332853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04720" cy="3343833"/>
                    </a:xfrm>
                    <a:prstGeom prst="rect">
                      <a:avLst/>
                    </a:prstGeom>
                  </pic:spPr>
                </pic:pic>
              </a:graphicData>
            </a:graphic>
          </wp:inline>
        </w:drawing>
      </w:r>
    </w:p>
    <w:p w14:paraId="007A437E" w14:textId="24DC9C1A" w:rsidR="009D7AEE" w:rsidRPr="00C9200E" w:rsidRDefault="00C9200E" w:rsidP="00C9200E">
      <w:pPr>
        <w:pStyle w:val="Caption"/>
        <w:ind w:firstLine="0"/>
      </w:pPr>
      <w:r>
        <w:rPr>
          <w:noProof/>
        </w:rPr>
        <mc:AlternateContent>
          <mc:Choice Requires="wps">
            <w:drawing>
              <wp:anchor distT="0" distB="0" distL="114300" distR="114300" simplePos="0" relativeHeight="251687936" behindDoc="0" locked="0" layoutInCell="1" allowOverlap="1" wp14:anchorId="56B83B9A" wp14:editId="2B8B1F0A">
                <wp:simplePos x="0" y="0"/>
                <wp:positionH relativeFrom="column">
                  <wp:posOffset>3077737</wp:posOffset>
                </wp:positionH>
                <wp:positionV relativeFrom="paragraph">
                  <wp:posOffset>1965077</wp:posOffset>
                </wp:positionV>
                <wp:extent cx="215420" cy="309880"/>
                <wp:effectExtent l="0" t="0" r="635" b="0"/>
                <wp:wrapNone/>
                <wp:docPr id="20" name="Text Box 20"/>
                <wp:cNvGraphicFramePr/>
                <a:graphic xmlns:a="http://schemas.openxmlformats.org/drawingml/2006/main">
                  <a:graphicData uri="http://schemas.microsoft.com/office/word/2010/wordprocessingShape">
                    <wps:wsp>
                      <wps:cNvSpPr txBox="1"/>
                      <wps:spPr>
                        <a:xfrm>
                          <a:off x="0" y="0"/>
                          <a:ext cx="215420" cy="309880"/>
                        </a:xfrm>
                        <a:prstGeom prst="rect">
                          <a:avLst/>
                        </a:prstGeom>
                        <a:solidFill>
                          <a:schemeClr val="lt1"/>
                        </a:solidFill>
                        <a:ln w="6350">
                          <a:noFill/>
                        </a:ln>
                      </wps:spPr>
                      <wps:txbx>
                        <w:txbxContent>
                          <w:p w14:paraId="3EF83B92" w14:textId="5631B1C7" w:rsidR="00C9200E" w:rsidRPr="00C9200E" w:rsidRDefault="00C9200E" w:rsidP="00C9200E">
                            <w:pPr>
                              <w:ind w:firstLine="0"/>
                              <w:rPr>
                                <w:sz w:val="32"/>
                                <w:szCs w:val="32"/>
                              </w:rPr>
                            </w:pPr>
                            <w:r w:rsidRPr="00C9200E">
                              <w:rPr>
                                <w:sz w:val="32"/>
                                <w:szCs w:val="32"/>
                              </w:rPr>
                              <w:t>B</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83B9A" id="Text Box 20" o:spid="_x0000_s1027" type="#_x0000_t202" style="position:absolute;margin-left:242.35pt;margin-top:154.75pt;width:16.95pt;height:2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" fillcolor="white [3201]" stroked="f" strokeweight=".5pt">
                <v:textbox inset="0,,0">
                  <w:txbxContent>
                    <w:p w14:paraId="3EF83B92" w14:textId="5631B1C7" w:rsidR="00C9200E" w:rsidRPr="00C9200E" w:rsidRDefault="00C9200E" w:rsidP="00C9200E">
                      <w:pPr>
                        <w:ind w:firstLine="0"/>
                        <w:rPr>
                          <w:sz w:val="32"/>
                          <w:szCs w:val="32"/>
                        </w:rPr>
                      </w:pPr>
                      <w:r w:rsidRPr="00C9200E">
                        <w:rPr>
                          <w:sz w:val="32"/>
                          <w:szCs w:val="32"/>
                        </w:rPr>
                        <w:t>B</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CE7FBEC" wp14:editId="13329D60">
                <wp:simplePos x="0" y="0"/>
                <wp:positionH relativeFrom="column">
                  <wp:posOffset>88900</wp:posOffset>
                </wp:positionH>
                <wp:positionV relativeFrom="paragraph">
                  <wp:posOffset>1964876</wp:posOffset>
                </wp:positionV>
                <wp:extent cx="193040" cy="31043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93040" cy="310437"/>
                        </a:xfrm>
                        <a:prstGeom prst="rect">
                          <a:avLst/>
                        </a:prstGeom>
                        <a:solidFill>
                          <a:schemeClr val="lt1"/>
                        </a:solidFill>
                        <a:ln w="6350">
                          <a:noFill/>
                        </a:ln>
                      </wps:spPr>
                      <wps:txbx>
                        <w:txbxContent>
                          <w:p w14:paraId="6BC805F5" w14:textId="364484FE" w:rsidR="00DD099B" w:rsidRPr="00C9200E" w:rsidRDefault="00DD099B" w:rsidP="00DD099B">
                            <w:pPr>
                              <w:ind w:firstLine="0"/>
                              <w:rPr>
                                <w:sz w:val="32"/>
                                <w:szCs w:val="32"/>
                              </w:rPr>
                            </w:pPr>
                            <w:r w:rsidRPr="00C9200E">
                              <w:rPr>
                                <w:sz w:val="32"/>
                                <w:szCs w:val="32"/>
                              </w:rPr>
                              <w:t>A</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7FBEC" id="Text Box 17" o:spid="_x0000_s1028" type="#_x0000_t202" style="position:absolute;margin-left:7pt;margin-top:154.7pt;width:15.2pt;height:2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" fillcolor="white [3201]" stroked="f" strokeweight=".5pt">
                <v:textbox inset="0,,0">
                  <w:txbxContent>
                    <w:p w14:paraId="6BC805F5" w14:textId="364484FE" w:rsidR="00DD099B" w:rsidRPr="00C9200E" w:rsidRDefault="00DD099B" w:rsidP="00DD099B">
                      <w:pPr>
                        <w:ind w:firstLine="0"/>
                        <w:rPr>
                          <w:sz w:val="32"/>
                          <w:szCs w:val="32"/>
                        </w:rPr>
                      </w:pPr>
                      <w:r w:rsidRPr="00C9200E">
                        <w:rPr>
                          <w:sz w:val="32"/>
                          <w:szCs w:val="32"/>
                        </w:rPr>
                        <w:t>A</w:t>
                      </w:r>
                    </w:p>
                  </w:txbxContent>
                </v:textbox>
              </v:shape>
            </w:pict>
          </mc:Fallback>
        </mc:AlternateContent>
      </w:r>
      <w:r w:rsidR="00B14404" w:rsidRPr="00063E1B">
        <w:t xml:space="preserve">Figure </w:t>
      </w:r>
      <w:r w:rsidR="00B14404">
        <w:t>5</w:t>
      </w:r>
      <w:r w:rsidR="00B14404" w:rsidRPr="00063E1B">
        <w:t xml:space="preserve"> </w:t>
      </w:r>
      <w:r w:rsidR="000C75D1" w:rsidRPr="00063E1B">
        <w:t xml:space="preserve">Mean lip thickness (LT) </w:t>
      </w:r>
      <w:r w:rsidR="000C75D1">
        <w:t xml:space="preserve">in mm </w:t>
      </w:r>
      <w:r w:rsidR="000C75D1" w:rsidRPr="00063E1B">
        <w:t>of queen conch surveyed at sites within the PHMR (GUZ-General Use Zone, RZ-Replenishment Zone, OUT-Outside Reserve)</w:t>
      </w:r>
      <w:r w:rsidR="000C75D1">
        <w:t xml:space="preserve"> </w:t>
      </w:r>
      <w:r w:rsidR="00D50655">
        <w:t>(</w:t>
      </w:r>
      <w:r w:rsidR="00D50655">
        <w:rPr>
          <w:rFonts w:ascii="Century Gothic" w:hAnsi="Century Gothic"/>
        </w:rPr>
        <w:t>±</w:t>
      </w:r>
      <w:r w:rsidR="00D50655">
        <w:t>Standard Error Bars)</w:t>
      </w:r>
      <w:r w:rsidR="003454DE">
        <w:t>, at the start of the closed season (July 2021) and the end of the closed season (Sept 2021).</w:t>
      </w:r>
      <w:r>
        <w:rPr>
          <w:noProof/>
        </w:rPr>
        <w:t xml:space="preserve"> </w:t>
      </w:r>
      <w:r w:rsidR="0081781B">
        <w:rPr>
          <w:noProof/>
        </w:rPr>
        <w:drawing>
          <wp:inline distT="0" distB="0" distL="0" distR="0" wp14:anchorId="3E5D5A0D" wp14:editId="2AD87C1B">
            <wp:extent cx="5713544" cy="1894748"/>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5108" cy="1911848"/>
                    </a:xfrm>
                    <a:prstGeom prst="rect">
                      <a:avLst/>
                    </a:prstGeom>
                  </pic:spPr>
                </pic:pic>
              </a:graphicData>
            </a:graphic>
          </wp:inline>
        </w:drawing>
      </w:r>
    </w:p>
    <w:p w14:paraId="2A33259B" w14:textId="575FD9F2" w:rsidR="0081781B" w:rsidRPr="0081781B" w:rsidRDefault="000F0B45" w:rsidP="0081781B">
      <w:pPr>
        <w:pStyle w:val="Caption"/>
        <w:ind w:firstLine="0"/>
      </w:pPr>
      <w:r w:rsidRPr="00063E1B">
        <w:t xml:space="preserve">Figure </w:t>
      </w:r>
      <w:r>
        <w:t>6</w:t>
      </w:r>
      <w:r w:rsidR="00C375BD">
        <w:t>A-B</w:t>
      </w:r>
      <w:r w:rsidRPr="00063E1B">
        <w:t xml:space="preserve"> </w:t>
      </w:r>
      <w:r w:rsidR="000C75D1" w:rsidRPr="00063E1B">
        <w:t xml:space="preserve">Size distribution </w:t>
      </w:r>
      <w:r w:rsidR="003454DE">
        <w:t xml:space="preserve">of </w:t>
      </w:r>
      <w:r w:rsidR="000C75D1" w:rsidRPr="00063E1B">
        <w:t>shell length (SL)</w:t>
      </w:r>
      <w:r w:rsidR="000C75D1">
        <w:t xml:space="preserve"> in </w:t>
      </w:r>
      <w:r w:rsidR="003454DE">
        <w:t>c</w:t>
      </w:r>
      <w:r w:rsidR="000C75D1">
        <w:t>m</w:t>
      </w:r>
      <w:r w:rsidR="000C75D1" w:rsidRPr="00063E1B">
        <w:t xml:space="preserve"> </w:t>
      </w:r>
      <w:r w:rsidR="000C75D1">
        <w:t xml:space="preserve">for all </w:t>
      </w:r>
      <w:r w:rsidR="000C75D1" w:rsidRPr="00063E1B">
        <w:t>queen conch surveyed within the PHMR</w:t>
      </w:r>
      <w:r w:rsidR="003454DE">
        <w:t xml:space="preserve">, </w:t>
      </w:r>
      <w:r w:rsidR="00C9200E" w:rsidRPr="00C9200E">
        <w:rPr>
          <w:sz w:val="20"/>
          <w:szCs w:val="20"/>
        </w:rPr>
        <w:t>(</w:t>
      </w:r>
      <w:r w:rsidR="00C9200E" w:rsidRPr="00C9200E">
        <w:rPr>
          <w:i/>
          <w:iCs/>
          <w:sz w:val="20"/>
          <w:szCs w:val="20"/>
        </w:rPr>
        <w:t>A</w:t>
      </w:r>
      <w:r w:rsidR="00C9200E" w:rsidRPr="00C9200E">
        <w:rPr>
          <w:sz w:val="20"/>
          <w:szCs w:val="20"/>
        </w:rPr>
        <w:t>)</w:t>
      </w:r>
      <w:r w:rsidR="00C9200E">
        <w:t xml:space="preserve"> </w:t>
      </w:r>
      <w:r w:rsidR="003454DE">
        <w:t>at the start of the closed season (July 2021) and</w:t>
      </w:r>
      <w:r w:rsidR="00C9200E">
        <w:t xml:space="preserve"> </w:t>
      </w:r>
      <w:bookmarkStart w:id="0" w:name="OLE_LINK4"/>
      <w:r w:rsidR="00C9200E" w:rsidRPr="00C9200E">
        <w:rPr>
          <w:sz w:val="20"/>
          <w:szCs w:val="20"/>
        </w:rPr>
        <w:t>(</w:t>
      </w:r>
      <w:r w:rsidR="00C9200E" w:rsidRPr="00C9200E">
        <w:rPr>
          <w:i/>
          <w:iCs/>
          <w:sz w:val="20"/>
          <w:szCs w:val="20"/>
        </w:rPr>
        <w:t>B</w:t>
      </w:r>
      <w:r w:rsidR="00C9200E" w:rsidRPr="00C9200E">
        <w:rPr>
          <w:sz w:val="20"/>
          <w:szCs w:val="20"/>
        </w:rPr>
        <w:t>)</w:t>
      </w:r>
      <w:r w:rsidR="003454DE">
        <w:t xml:space="preserve"> </w:t>
      </w:r>
      <w:bookmarkEnd w:id="0"/>
      <w:r w:rsidR="003454DE">
        <w:t>the end of the closed season (Sept 2021).</w:t>
      </w:r>
    </w:p>
    <w:p w14:paraId="66510A18" w14:textId="343F62FB" w:rsidR="00C9200E" w:rsidRDefault="00C375BD" w:rsidP="0081781B">
      <w:pPr>
        <w:ind w:firstLine="0"/>
      </w:pPr>
      <w:r>
        <w:rPr>
          <w:noProof/>
        </w:rPr>
        <mc:AlternateContent>
          <mc:Choice Requires="wps">
            <w:drawing>
              <wp:anchor distT="0" distB="0" distL="114300" distR="114300" simplePos="0" relativeHeight="251692032" behindDoc="0" locked="0" layoutInCell="1" allowOverlap="1" wp14:anchorId="3657BB33" wp14:editId="3F728DA7">
                <wp:simplePos x="0" y="0"/>
                <wp:positionH relativeFrom="column">
                  <wp:posOffset>2801442</wp:posOffset>
                </wp:positionH>
                <wp:positionV relativeFrom="paragraph">
                  <wp:posOffset>1547334</wp:posOffset>
                </wp:positionV>
                <wp:extent cx="215420" cy="309880"/>
                <wp:effectExtent l="0" t="0" r="635" b="0"/>
                <wp:wrapNone/>
                <wp:docPr id="42" name="Text Box 42"/>
                <wp:cNvGraphicFramePr/>
                <a:graphic xmlns:a="http://schemas.openxmlformats.org/drawingml/2006/main">
                  <a:graphicData uri="http://schemas.microsoft.com/office/word/2010/wordprocessingShape">
                    <wps:wsp>
                      <wps:cNvSpPr txBox="1"/>
                      <wps:spPr>
                        <a:xfrm>
                          <a:off x="0" y="0"/>
                          <a:ext cx="215420" cy="309880"/>
                        </a:xfrm>
                        <a:prstGeom prst="rect">
                          <a:avLst/>
                        </a:prstGeom>
                        <a:solidFill>
                          <a:schemeClr val="lt1"/>
                        </a:solidFill>
                        <a:ln w="6350">
                          <a:noFill/>
                        </a:ln>
                      </wps:spPr>
                      <wps:txbx>
                        <w:txbxContent>
                          <w:p w14:paraId="0231F80B" w14:textId="77777777" w:rsidR="00C375BD" w:rsidRPr="00C9200E" w:rsidRDefault="00C375BD" w:rsidP="00C375BD">
                            <w:pPr>
                              <w:ind w:firstLine="0"/>
                              <w:rPr>
                                <w:sz w:val="32"/>
                                <w:szCs w:val="32"/>
                              </w:rPr>
                            </w:pPr>
                            <w:r w:rsidRPr="00C9200E">
                              <w:rPr>
                                <w:sz w:val="32"/>
                                <w:szCs w:val="32"/>
                              </w:rPr>
                              <w:t>B</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7BB33" id="Text Box 42" o:spid="_x0000_s1029" type="#_x0000_t202" style="position:absolute;margin-left:220.6pt;margin-top:121.85pt;width:16.95pt;height:2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" fillcolor="white [3201]" stroked="f" strokeweight=".5pt">
                <v:textbox inset="0,,0">
                  <w:txbxContent>
                    <w:p w14:paraId="0231F80B" w14:textId="77777777" w:rsidR="00C375BD" w:rsidRPr="00C9200E" w:rsidRDefault="00C375BD" w:rsidP="00C375BD">
                      <w:pPr>
                        <w:ind w:firstLine="0"/>
                        <w:rPr>
                          <w:sz w:val="32"/>
                          <w:szCs w:val="32"/>
                        </w:rPr>
                      </w:pPr>
                      <w:r w:rsidRPr="00C9200E">
                        <w:rPr>
                          <w:sz w:val="32"/>
                          <w:szCs w:val="32"/>
                        </w:rPr>
                        <w:t>B</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ECE9625" wp14:editId="70FF489E">
                <wp:simplePos x="0" y="0"/>
                <wp:positionH relativeFrom="column">
                  <wp:posOffset>0</wp:posOffset>
                </wp:positionH>
                <wp:positionV relativeFrom="paragraph">
                  <wp:posOffset>1545481</wp:posOffset>
                </wp:positionV>
                <wp:extent cx="193040" cy="310437"/>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93040" cy="310437"/>
                        </a:xfrm>
                        <a:prstGeom prst="rect">
                          <a:avLst/>
                        </a:prstGeom>
                        <a:solidFill>
                          <a:schemeClr val="lt1"/>
                        </a:solidFill>
                        <a:ln w="6350">
                          <a:noFill/>
                        </a:ln>
                      </wps:spPr>
                      <wps:txbx>
                        <w:txbxContent>
                          <w:p w14:paraId="668F08B4" w14:textId="77777777" w:rsidR="00C375BD" w:rsidRPr="00C9200E" w:rsidRDefault="00C375BD" w:rsidP="00C375BD">
                            <w:pPr>
                              <w:ind w:firstLine="0"/>
                              <w:rPr>
                                <w:sz w:val="32"/>
                                <w:szCs w:val="32"/>
                              </w:rPr>
                            </w:pPr>
                            <w:r w:rsidRPr="00C9200E">
                              <w:rPr>
                                <w:sz w:val="32"/>
                                <w:szCs w:val="32"/>
                              </w:rPr>
                              <w:t>A</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E9625" id="Text Box 41" o:spid="_x0000_s1030" type="#_x0000_t202" style="position:absolute;margin-left:0;margin-top:121.7pt;width:15.2pt;height:2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" fillcolor="white [3201]" stroked="f" strokeweight=".5pt">
                <v:textbox inset="0,,0">
                  <w:txbxContent>
                    <w:p w14:paraId="668F08B4" w14:textId="77777777" w:rsidR="00C375BD" w:rsidRPr="00C9200E" w:rsidRDefault="00C375BD" w:rsidP="00C375BD">
                      <w:pPr>
                        <w:ind w:firstLine="0"/>
                        <w:rPr>
                          <w:sz w:val="32"/>
                          <w:szCs w:val="32"/>
                        </w:rPr>
                      </w:pPr>
                      <w:r w:rsidRPr="00C9200E">
                        <w:rPr>
                          <w:sz w:val="32"/>
                          <w:szCs w:val="32"/>
                        </w:rPr>
                        <w:t>A</w:t>
                      </w:r>
                    </w:p>
                  </w:txbxContent>
                </v:textbox>
              </v:shape>
            </w:pict>
          </mc:Fallback>
        </mc:AlternateContent>
      </w:r>
      <w:r w:rsidR="0081781B">
        <w:rPr>
          <w:noProof/>
        </w:rPr>
        <w:drawing>
          <wp:inline distT="0" distB="0" distL="0" distR="0" wp14:anchorId="3D89C40D" wp14:editId="0495C70C">
            <wp:extent cx="5678599" cy="1858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668" cy="1875979"/>
                    </a:xfrm>
                    <a:prstGeom prst="rect">
                      <a:avLst/>
                    </a:prstGeom>
                  </pic:spPr>
                </pic:pic>
              </a:graphicData>
            </a:graphic>
          </wp:inline>
        </w:drawing>
      </w:r>
    </w:p>
    <w:p w14:paraId="404829CD" w14:textId="730D518D" w:rsidR="00AE5C5B" w:rsidRDefault="00CC4788" w:rsidP="0086390E">
      <w:pPr>
        <w:pStyle w:val="Caption"/>
        <w:ind w:firstLine="0"/>
      </w:pPr>
      <w:r w:rsidRPr="00063E1B">
        <w:t xml:space="preserve">Figure </w:t>
      </w:r>
      <w:r>
        <w:t>7</w:t>
      </w:r>
      <w:r w:rsidR="00C375BD">
        <w:t>A-B</w:t>
      </w:r>
      <w:r w:rsidRPr="00063E1B">
        <w:t xml:space="preserve"> </w:t>
      </w:r>
      <w:r w:rsidR="000C75D1" w:rsidRPr="00063E1B">
        <w:t>Size distribution of lip thickness (LT)</w:t>
      </w:r>
      <w:r w:rsidR="000C75D1">
        <w:t xml:space="preserve"> in mm for all </w:t>
      </w:r>
      <w:r w:rsidR="000C75D1" w:rsidRPr="00063E1B">
        <w:t>queen conch surveyed within the PHMR</w:t>
      </w:r>
      <w:r w:rsidR="003454DE">
        <w:t xml:space="preserve">, </w:t>
      </w:r>
      <w:r w:rsidR="00C9200E" w:rsidRPr="00C9200E">
        <w:rPr>
          <w:sz w:val="20"/>
          <w:szCs w:val="20"/>
        </w:rPr>
        <w:t>(</w:t>
      </w:r>
      <w:r w:rsidR="00C9200E" w:rsidRPr="00C9200E">
        <w:rPr>
          <w:i/>
          <w:iCs/>
          <w:sz w:val="20"/>
          <w:szCs w:val="20"/>
        </w:rPr>
        <w:t>A</w:t>
      </w:r>
      <w:r w:rsidR="00C9200E" w:rsidRPr="00C9200E">
        <w:rPr>
          <w:sz w:val="20"/>
          <w:szCs w:val="20"/>
        </w:rPr>
        <w:t>)</w:t>
      </w:r>
      <w:r w:rsidR="00C9200E">
        <w:rPr>
          <w:sz w:val="20"/>
          <w:szCs w:val="20"/>
        </w:rPr>
        <w:t xml:space="preserve"> </w:t>
      </w:r>
      <w:r w:rsidR="003454DE">
        <w:t xml:space="preserve">at the start of the closed season (July 2021) and </w:t>
      </w:r>
      <w:r w:rsidR="00C9200E" w:rsidRPr="00C9200E">
        <w:rPr>
          <w:sz w:val="20"/>
          <w:szCs w:val="20"/>
        </w:rPr>
        <w:t>(</w:t>
      </w:r>
      <w:r w:rsidR="00C9200E" w:rsidRPr="00C9200E">
        <w:rPr>
          <w:i/>
          <w:iCs/>
          <w:sz w:val="20"/>
          <w:szCs w:val="20"/>
        </w:rPr>
        <w:t>B</w:t>
      </w:r>
      <w:r w:rsidR="00C9200E" w:rsidRPr="00C9200E">
        <w:rPr>
          <w:sz w:val="20"/>
          <w:szCs w:val="20"/>
        </w:rPr>
        <w:t>)</w:t>
      </w:r>
      <w:r w:rsidR="00C9200E">
        <w:t xml:space="preserve"> </w:t>
      </w:r>
      <w:r w:rsidR="003454DE">
        <w:t>the end of the closed season (Sept 2021).</w:t>
      </w:r>
    </w:p>
    <w:p w14:paraId="295B131C" w14:textId="0FB60334" w:rsidR="009B57AE" w:rsidRPr="000B7739" w:rsidRDefault="00256DEE" w:rsidP="000B7739">
      <w:pPr>
        <w:ind w:firstLine="0"/>
      </w:pPr>
      <w:r w:rsidRPr="00256DEE">
        <w:rPr>
          <w:noProof/>
        </w:rPr>
        <w:lastRenderedPageBreak/>
        <w:t xml:space="preserve">         </w:t>
      </w:r>
    </w:p>
    <w:p w14:paraId="31E3CE76" w14:textId="1BE7EA6D" w:rsidR="00843CA3" w:rsidRPr="00843CA3" w:rsidRDefault="00843CA3" w:rsidP="00843CA3">
      <w:pPr>
        <w:ind w:firstLine="0"/>
      </w:pPr>
      <w:r w:rsidRPr="00843CA3">
        <w:t>A</w:t>
      </w:r>
      <w:r w:rsidRPr="00843CA3">
        <w:rPr>
          <w:noProof/>
        </w:rPr>
        <w:drawing>
          <wp:inline distT="0" distB="0" distL="0" distR="0" wp14:anchorId="4FC6CC7F" wp14:editId="2F636D5D">
            <wp:extent cx="3207054" cy="2106593"/>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8217" cy="2146769"/>
                    </a:xfrm>
                    <a:prstGeom prst="rect">
                      <a:avLst/>
                    </a:prstGeom>
                  </pic:spPr>
                </pic:pic>
              </a:graphicData>
            </a:graphic>
          </wp:inline>
        </w:drawing>
      </w:r>
    </w:p>
    <w:p w14:paraId="1E4F18D0" w14:textId="77777777" w:rsidR="00843CA3" w:rsidRDefault="00843CA3" w:rsidP="00395213">
      <w:pPr>
        <w:pStyle w:val="Caption"/>
        <w:rPr>
          <w:rFonts w:ascii="Avenir Book" w:hAnsi="Avenir Book"/>
          <w:b w:val="0"/>
          <w:bCs w:val="0"/>
          <w:sz w:val="22"/>
          <w:szCs w:val="22"/>
        </w:rPr>
      </w:pPr>
    </w:p>
    <w:p w14:paraId="16DCAC04" w14:textId="00C2F361" w:rsidR="00843CA3" w:rsidRDefault="00843CA3" w:rsidP="000B7739">
      <w:pPr>
        <w:pStyle w:val="Caption"/>
        <w:ind w:firstLine="0"/>
        <w:rPr>
          <w:rFonts w:ascii="Avenir Book" w:hAnsi="Avenir Book"/>
          <w:b w:val="0"/>
          <w:bCs w:val="0"/>
          <w:sz w:val="22"/>
          <w:szCs w:val="22"/>
        </w:rPr>
      </w:pPr>
      <w:r w:rsidRPr="00843CA3">
        <w:rPr>
          <w:rFonts w:ascii="Avenir Book" w:hAnsi="Avenir Book"/>
          <w:b w:val="0"/>
          <w:bCs w:val="0"/>
          <w:sz w:val="22"/>
          <w:szCs w:val="22"/>
        </w:rPr>
        <w:t>B</w:t>
      </w:r>
      <w:r w:rsidRPr="00843CA3">
        <w:rPr>
          <w:rFonts w:ascii="Avenir Book" w:hAnsi="Avenir Book"/>
          <w:noProof/>
          <w:sz w:val="22"/>
          <w:szCs w:val="22"/>
        </w:rPr>
        <w:drawing>
          <wp:inline distT="0" distB="0" distL="0" distR="0" wp14:anchorId="085625CE" wp14:editId="3D6DB790">
            <wp:extent cx="3281423" cy="21638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1690" cy="2196982"/>
                    </a:xfrm>
                    <a:prstGeom prst="rect">
                      <a:avLst/>
                    </a:prstGeom>
                  </pic:spPr>
                </pic:pic>
              </a:graphicData>
            </a:graphic>
          </wp:inline>
        </w:drawing>
      </w:r>
    </w:p>
    <w:p w14:paraId="51FF8A62" w14:textId="77777777" w:rsidR="0086390E" w:rsidRPr="0086390E" w:rsidRDefault="0086390E" w:rsidP="0086390E"/>
    <w:p w14:paraId="6004A10B" w14:textId="69DDD493" w:rsidR="00395213" w:rsidRDefault="00843CA3" w:rsidP="00843CA3">
      <w:pPr>
        <w:ind w:firstLine="0"/>
      </w:pPr>
      <w:r w:rsidRPr="00843CA3">
        <w:rPr>
          <w:rFonts w:ascii="Avenir Book" w:hAnsi="Avenir Book"/>
        </w:rPr>
        <w:t>C</w:t>
      </w:r>
      <w:r>
        <w:rPr>
          <w:noProof/>
        </w:rPr>
        <w:drawing>
          <wp:inline distT="0" distB="0" distL="0" distR="0" wp14:anchorId="6B2F4D50" wp14:editId="47AF7731">
            <wp:extent cx="3269470" cy="217696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56063" cy="2234626"/>
                    </a:xfrm>
                    <a:prstGeom prst="rect">
                      <a:avLst/>
                    </a:prstGeom>
                  </pic:spPr>
                </pic:pic>
              </a:graphicData>
            </a:graphic>
          </wp:inline>
        </w:drawing>
      </w:r>
    </w:p>
    <w:p w14:paraId="63A4D412" w14:textId="77777777" w:rsidR="000B7739" w:rsidRDefault="000B7739" w:rsidP="00843CA3">
      <w:pPr>
        <w:pStyle w:val="Caption"/>
        <w:ind w:firstLine="0"/>
      </w:pPr>
      <w:bookmarkStart w:id="1" w:name="OLE_LINK1"/>
    </w:p>
    <w:p w14:paraId="03CAA906" w14:textId="28B1043B" w:rsidR="00843CA3" w:rsidRPr="003454DE" w:rsidRDefault="00843CA3" w:rsidP="00843CA3">
      <w:pPr>
        <w:pStyle w:val="Caption"/>
        <w:ind w:firstLine="0"/>
      </w:pPr>
      <w:r w:rsidRPr="00063E1B">
        <w:t xml:space="preserve">Figure </w:t>
      </w:r>
      <w:r>
        <w:t>8</w:t>
      </w:r>
      <w:r w:rsidR="00CB453B">
        <w:t>A-C</w:t>
      </w:r>
      <w:r>
        <w:t>:</w:t>
      </w:r>
      <w:r w:rsidRPr="00063E1B">
        <w:t xml:space="preserve"> </w:t>
      </w:r>
      <w:bookmarkEnd w:id="1"/>
      <w:r w:rsidRPr="00063E1B">
        <w:t>Mean density</w:t>
      </w:r>
      <w:r>
        <w:t xml:space="preserve"> per Ha </w:t>
      </w:r>
      <w:r w:rsidR="00CB453B">
        <w:t>(</w:t>
      </w:r>
      <w:r>
        <w:t>A)</w:t>
      </w:r>
      <w:r w:rsidRPr="00063E1B">
        <w:t xml:space="preserve">, shell length </w:t>
      </w:r>
      <w:r>
        <w:t>in cm (</w:t>
      </w:r>
      <w:r w:rsidR="00CB453B">
        <w:t>B</w:t>
      </w:r>
      <w:r>
        <w:t xml:space="preserve">) </w:t>
      </w:r>
      <w:r w:rsidRPr="00063E1B">
        <w:t xml:space="preserve">and lip thickness </w:t>
      </w:r>
      <w:r>
        <w:t xml:space="preserve">in mm (C) </w:t>
      </w:r>
      <w:r w:rsidRPr="00063E1B">
        <w:t>of queen conch</w:t>
      </w:r>
      <w:r>
        <w:t>,</w:t>
      </w:r>
      <w:r w:rsidRPr="00063E1B">
        <w:t xml:space="preserve"> among management zones of the PHMR (GUZ-Gener</w:t>
      </w:r>
      <w:r>
        <w:t>a</w:t>
      </w:r>
      <w:r w:rsidRPr="00063E1B">
        <w:t xml:space="preserve">l Use Zone, RZ-Replenishment Zone, OUT-Outside the Reserve) </w:t>
      </w:r>
      <w:bookmarkStart w:id="2" w:name="OLE_LINK3"/>
      <w:r w:rsidRPr="00063E1B">
        <w:t>(</w:t>
      </w:r>
      <w:r w:rsidRPr="00063E1B">
        <w:rPr>
          <w:rFonts w:ascii="Georgia" w:hAnsi="Georgia" w:cs="Times New Roman"/>
        </w:rPr>
        <w:t>±</w:t>
      </w:r>
      <w:r w:rsidRPr="00063E1B">
        <w:t>Standard Error Bars, S.E.)</w:t>
      </w:r>
      <w:r>
        <w:t>,</w:t>
      </w:r>
      <w:bookmarkEnd w:id="2"/>
      <w:r>
        <w:t xml:space="preserve"> at the start of the closed season (July 2021) and the end of the closed season (Sept 2021).</w:t>
      </w:r>
    </w:p>
    <w:p w14:paraId="05098110" w14:textId="58A8F8C2" w:rsidR="00395213" w:rsidRDefault="00395213" w:rsidP="00395213"/>
    <w:p w14:paraId="655C2249" w14:textId="40D61191" w:rsidR="00395213" w:rsidRPr="00395213" w:rsidRDefault="001A0659" w:rsidP="000B7739">
      <w:pPr>
        <w:ind w:firstLine="0"/>
      </w:pPr>
      <w:r>
        <w:rPr>
          <w:noProof/>
        </w:rPr>
        <w:lastRenderedPageBreak/>
        <w:drawing>
          <wp:inline distT="0" distB="0" distL="0" distR="0" wp14:anchorId="6F6CC569" wp14:editId="3900176B">
            <wp:extent cx="3793640" cy="2754848"/>
            <wp:effectExtent l="0" t="0" r="381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2493" cy="2775801"/>
                    </a:xfrm>
                    <a:prstGeom prst="rect">
                      <a:avLst/>
                    </a:prstGeom>
                  </pic:spPr>
                </pic:pic>
              </a:graphicData>
            </a:graphic>
          </wp:inline>
        </w:drawing>
      </w:r>
    </w:p>
    <w:p w14:paraId="71936F78" w14:textId="607D990D" w:rsidR="000B7739" w:rsidRDefault="000B7739" w:rsidP="000B7739">
      <w:pPr>
        <w:pStyle w:val="Caption"/>
        <w:ind w:firstLine="0"/>
      </w:pPr>
      <w:r w:rsidRPr="00063E1B">
        <w:t xml:space="preserve">Figure </w:t>
      </w:r>
      <w:r>
        <w:t xml:space="preserve">9 </w:t>
      </w:r>
      <w:r w:rsidR="007E1480">
        <w:t>Comparison of m</w:t>
      </w:r>
      <w:r w:rsidRPr="00063E1B">
        <w:t>ean density</w:t>
      </w:r>
      <w:r>
        <w:t xml:space="preserve"> per Ha</w:t>
      </w:r>
      <w:r w:rsidRPr="00063E1B">
        <w:t>,</w:t>
      </w:r>
      <w:r w:rsidR="007E1480">
        <w:t xml:space="preserve"> mean </w:t>
      </w:r>
      <w:r w:rsidRPr="00063E1B">
        <w:t xml:space="preserve">shell length </w:t>
      </w:r>
      <w:r>
        <w:t xml:space="preserve">in cm </w:t>
      </w:r>
      <w:r w:rsidRPr="00063E1B">
        <w:t>and</w:t>
      </w:r>
      <w:r w:rsidR="007E1480">
        <w:t xml:space="preserve"> mean</w:t>
      </w:r>
      <w:r w:rsidRPr="00063E1B">
        <w:t xml:space="preserve"> lip thickness </w:t>
      </w:r>
      <w:r>
        <w:t xml:space="preserve">in mm </w:t>
      </w:r>
      <w:r w:rsidRPr="00063E1B">
        <w:t>of queen conch</w:t>
      </w:r>
      <w:r>
        <w:t>,</w:t>
      </w:r>
      <w:r w:rsidRPr="00063E1B">
        <w:t xml:space="preserve"> </w:t>
      </w:r>
      <w:r>
        <w:t xml:space="preserve">between May 2020 and July 2021, </w:t>
      </w:r>
      <w:r w:rsidRPr="00063E1B">
        <w:t>(</w:t>
      </w:r>
      <w:r w:rsidRPr="00063E1B">
        <w:rPr>
          <w:rFonts w:ascii="Georgia" w:hAnsi="Georgia" w:cs="Times New Roman"/>
        </w:rPr>
        <w:t>±</w:t>
      </w:r>
      <w:r w:rsidRPr="00063E1B">
        <w:t>Standard Error Bars, S.E.)</w:t>
      </w:r>
      <w:r>
        <w:t xml:space="preserve">. </w:t>
      </w:r>
    </w:p>
    <w:p w14:paraId="75DEFF53" w14:textId="06F5F8C2" w:rsidR="001A0659" w:rsidRDefault="001A0659" w:rsidP="001A0659"/>
    <w:p w14:paraId="2554E9A5" w14:textId="77777777" w:rsidR="001A0659" w:rsidRPr="001A0659" w:rsidRDefault="001A0659" w:rsidP="001A0659"/>
    <w:p w14:paraId="44FDB06C" w14:textId="267377C6" w:rsidR="00226EB9" w:rsidRPr="0031054B" w:rsidRDefault="00226EB9" w:rsidP="0031054B">
      <w:pPr>
        <w:pStyle w:val="Caption"/>
        <w:ind w:firstLine="0"/>
      </w:pPr>
      <w:r>
        <w:rPr>
          <w:rFonts w:ascii="Bangla MN" w:hAnsi="Bangla MN" w:cs="Bangla MN"/>
          <w:sz w:val="28"/>
          <w:szCs w:val="28"/>
        </w:rPr>
        <w:t>Discussion &amp; Recommendations</w:t>
      </w:r>
    </w:p>
    <w:p w14:paraId="509645D4" w14:textId="77777777" w:rsidR="00226EB9" w:rsidRDefault="00226EB9" w:rsidP="00226EB9">
      <w:pPr>
        <w:spacing w:line="276" w:lineRule="auto"/>
        <w:jc w:val="both"/>
        <w:rPr>
          <w:rFonts w:ascii="Bangla MN" w:hAnsi="Bangla MN" w:cs="Bangla MN"/>
          <w:b/>
          <w:bCs/>
          <w:sz w:val="28"/>
          <w:szCs w:val="28"/>
        </w:rPr>
        <w:sectPr w:rsidR="00226EB9" w:rsidSect="00E62735">
          <w:type w:val="continuous"/>
          <w:pgSz w:w="12240" w:h="15840"/>
          <w:pgMar w:top="1440" w:right="1440" w:bottom="1440" w:left="1440" w:header="720" w:footer="720" w:gutter="0"/>
          <w:cols w:space="720"/>
          <w:docGrid w:linePitch="360"/>
        </w:sectPr>
      </w:pPr>
    </w:p>
    <w:p w14:paraId="763FCC02" w14:textId="5ABA5464" w:rsidR="0081781B" w:rsidRPr="003B14B6" w:rsidRDefault="00F4261F" w:rsidP="00BD389E">
      <w:pPr>
        <w:spacing w:line="276" w:lineRule="auto"/>
        <w:jc w:val="both"/>
        <w:rPr>
          <w:rFonts w:ascii="Avenir Book" w:hAnsi="Avenir Book"/>
        </w:rPr>
      </w:pPr>
      <w:r>
        <w:rPr>
          <w:rFonts w:ascii="Avenir Book" w:hAnsi="Avenir Book"/>
        </w:rPr>
        <w:t xml:space="preserve">Queen conch abundance in the PHMR has shown an improvement since 2020, with a 113% increase, however this is only for the start of the closed season, since data for both periods were not available in 2020. Nevertheless, this suggests a recovery of sorts of conch in PHMR. </w:t>
      </w:r>
      <w:r w:rsidR="00AF110D" w:rsidRPr="00BB355B">
        <w:rPr>
          <w:rFonts w:ascii="Avenir Book" w:hAnsi="Avenir Book"/>
        </w:rPr>
        <w:t xml:space="preserve">On </w:t>
      </w:r>
      <w:r>
        <w:rPr>
          <w:rFonts w:ascii="Avenir Book" w:hAnsi="Avenir Book"/>
        </w:rPr>
        <w:t xml:space="preserve">more detailed </w:t>
      </w:r>
      <w:r w:rsidR="00AF110D" w:rsidRPr="00BB355B">
        <w:rPr>
          <w:rFonts w:ascii="Avenir Book" w:hAnsi="Avenir Book"/>
        </w:rPr>
        <w:t xml:space="preserve">analysis of </w:t>
      </w:r>
      <w:r w:rsidR="008A21E3">
        <w:rPr>
          <w:rFonts w:ascii="Avenir Book" w:hAnsi="Avenir Book"/>
        </w:rPr>
        <w:t xml:space="preserve">the </w:t>
      </w:r>
      <w:r>
        <w:rPr>
          <w:rFonts w:ascii="Avenir Book" w:hAnsi="Avenir Book"/>
        </w:rPr>
        <w:t>2021</w:t>
      </w:r>
      <w:r w:rsidR="00AF110D" w:rsidRPr="00BB355B">
        <w:rPr>
          <w:rFonts w:ascii="Avenir Book" w:hAnsi="Avenir Book"/>
        </w:rPr>
        <w:t xml:space="preserve"> data, densities were lower in September at the end of the closed season </w:t>
      </w:r>
      <w:r w:rsidR="008A21E3">
        <w:rPr>
          <w:rFonts w:ascii="Avenir Book" w:hAnsi="Avenir Book"/>
        </w:rPr>
        <w:t>or</w:t>
      </w:r>
      <w:r w:rsidR="00AF110D" w:rsidRPr="00BB355B">
        <w:rPr>
          <w:rFonts w:ascii="Avenir Book" w:hAnsi="Avenir Book"/>
        </w:rPr>
        <w:t xml:space="preserve"> no fishing period, suggesting that conch numbers did not increase with the reduction in fishing pressure. Factors for this may be attributed to migration of conch from these sites to other parts of the marine reserve and illegal fishing during the closed season, especially from across the border. However, there was recovery in terms of population structure based on the larger sized conch and a greater proportion of adults being found at the end of the closed season, </w:t>
      </w:r>
      <w:r w:rsidR="00BB355B" w:rsidRPr="00BB355B">
        <w:rPr>
          <w:rFonts w:ascii="Avenir Book" w:hAnsi="Avenir Book"/>
        </w:rPr>
        <w:t>8.3</w:t>
      </w:r>
      <w:r w:rsidR="00AF110D" w:rsidRPr="00BB355B">
        <w:rPr>
          <w:rFonts w:ascii="Avenir Book" w:hAnsi="Avenir Book"/>
        </w:rPr>
        <w:t xml:space="preserve">% in July at the start of the closed season and </w:t>
      </w:r>
      <w:r w:rsidR="00BB355B" w:rsidRPr="00BB355B">
        <w:rPr>
          <w:rFonts w:ascii="Avenir Book" w:hAnsi="Avenir Book"/>
        </w:rPr>
        <w:t>16</w:t>
      </w:r>
      <w:r w:rsidR="00AF110D" w:rsidRPr="00BB355B">
        <w:rPr>
          <w:rFonts w:ascii="Avenir Book" w:hAnsi="Avenir Book"/>
        </w:rPr>
        <w:t>.</w:t>
      </w:r>
      <w:r w:rsidR="00BB355B" w:rsidRPr="00BB355B">
        <w:rPr>
          <w:rFonts w:ascii="Avenir Book" w:hAnsi="Avenir Book"/>
        </w:rPr>
        <w:t>3</w:t>
      </w:r>
      <w:r w:rsidR="00AF110D" w:rsidRPr="00BB355B">
        <w:rPr>
          <w:rFonts w:ascii="Avenir Book" w:hAnsi="Avenir Book"/>
        </w:rPr>
        <w:t xml:space="preserve">% </w:t>
      </w:r>
      <w:r w:rsidR="008A21E3">
        <w:rPr>
          <w:rFonts w:ascii="Avenir Book" w:hAnsi="Avenir Book"/>
        </w:rPr>
        <w:t>by</w:t>
      </w:r>
      <w:r w:rsidR="00AF110D" w:rsidRPr="00BB355B">
        <w:rPr>
          <w:rFonts w:ascii="Avenir Book" w:hAnsi="Avenir Book"/>
        </w:rPr>
        <w:t xml:space="preserve"> the end of the closed season.</w:t>
      </w:r>
      <w:r w:rsidR="00BB355B" w:rsidRPr="00BB355B">
        <w:rPr>
          <w:rFonts w:ascii="Avenir Book" w:hAnsi="Avenir Book"/>
        </w:rPr>
        <w:t xml:space="preserve"> </w:t>
      </w:r>
      <w:r w:rsidR="008A21E3">
        <w:rPr>
          <w:rFonts w:ascii="Avenir Book" w:hAnsi="Avenir Book"/>
        </w:rPr>
        <w:t xml:space="preserve">So, there is evidence that the closed season is providing an opportunity for conch to increase in size and maturity before fishing resumes. Conch size increased by 21% and there was approximately 100% more mature conch by September. </w:t>
      </w:r>
      <w:r w:rsidR="00BB355B" w:rsidRPr="00BB355B">
        <w:rPr>
          <w:rFonts w:ascii="Avenir Book" w:hAnsi="Avenir Book"/>
        </w:rPr>
        <w:t>This size</w:t>
      </w:r>
      <w:r w:rsidR="008A21E3">
        <w:rPr>
          <w:rFonts w:ascii="Avenir Book" w:hAnsi="Avenir Book"/>
        </w:rPr>
        <w:t xml:space="preserve"> at maturity</w:t>
      </w:r>
      <w:r w:rsidR="00BB355B" w:rsidRPr="00BB355B">
        <w:rPr>
          <w:rFonts w:ascii="Avenir Book" w:hAnsi="Avenir Book"/>
        </w:rPr>
        <w:t xml:space="preserve"> is based on studies from both the PHMR and Glover’s Reef Marine Reserve that suggest 50% maturity occurs &gt;10 mm, starting around 12-15 mm (Foley and Takahashi 2017, Tewfik </w:t>
      </w:r>
      <w:r w:rsidR="00BB355B" w:rsidRPr="00BB355B">
        <w:rPr>
          <w:rFonts w:ascii="Avenir Book" w:hAnsi="Avenir Book"/>
          <w:i/>
          <w:iCs/>
        </w:rPr>
        <w:t>et al</w:t>
      </w:r>
      <w:r w:rsidR="00BB355B" w:rsidRPr="00BB355B">
        <w:rPr>
          <w:rFonts w:ascii="Avenir Book" w:hAnsi="Avenir Book"/>
        </w:rPr>
        <w:t>., 2019).</w:t>
      </w:r>
      <w:r w:rsidR="00BB355B">
        <w:rPr>
          <w:rFonts w:ascii="Avenir Book" w:hAnsi="Avenir Book"/>
        </w:rPr>
        <w:t xml:space="preserve"> </w:t>
      </w:r>
    </w:p>
    <w:p w14:paraId="0C87B514" w14:textId="1C76EB85" w:rsidR="0081781B" w:rsidRPr="003B14B6" w:rsidRDefault="0081781B" w:rsidP="00BD389E">
      <w:pPr>
        <w:spacing w:line="276" w:lineRule="auto"/>
        <w:jc w:val="both"/>
        <w:rPr>
          <w:rFonts w:ascii="Avenir Book" w:hAnsi="Avenir Book"/>
        </w:rPr>
      </w:pPr>
    </w:p>
    <w:p w14:paraId="4AEB3956" w14:textId="432CA296" w:rsidR="008A21E3" w:rsidRPr="003B14B6" w:rsidRDefault="008A21E3" w:rsidP="00BD389E">
      <w:pPr>
        <w:spacing w:line="276" w:lineRule="auto"/>
        <w:jc w:val="both"/>
        <w:rPr>
          <w:rFonts w:ascii="Avenir Book" w:hAnsi="Avenir Book"/>
        </w:rPr>
      </w:pPr>
      <w:r w:rsidRPr="003B14B6">
        <w:rPr>
          <w:rFonts w:ascii="Avenir Book" w:hAnsi="Avenir Book"/>
        </w:rPr>
        <w:t>Based on the current conch regulation</w:t>
      </w:r>
      <w:r w:rsidR="00942861">
        <w:rPr>
          <w:rFonts w:ascii="Avenir Book" w:hAnsi="Avenir Book"/>
        </w:rPr>
        <w:t>s</w:t>
      </w:r>
      <w:r w:rsidRPr="003B14B6">
        <w:rPr>
          <w:rFonts w:ascii="Avenir Book" w:hAnsi="Avenir Book"/>
        </w:rPr>
        <w:t>, the size limit is a minimum shell length of 178 mm</w:t>
      </w:r>
      <w:r w:rsidR="00A27603">
        <w:rPr>
          <w:rFonts w:ascii="Avenir Book" w:hAnsi="Avenir Book"/>
        </w:rPr>
        <w:t xml:space="preserve"> or 17.8 cm</w:t>
      </w:r>
      <w:r w:rsidRPr="003B14B6">
        <w:rPr>
          <w:rFonts w:ascii="Avenir Book" w:hAnsi="Avenir Book"/>
        </w:rPr>
        <w:t xml:space="preserve">. According to the data collected </w:t>
      </w:r>
      <w:r w:rsidR="001873CE" w:rsidRPr="003B14B6">
        <w:rPr>
          <w:rFonts w:ascii="Avenir Book" w:hAnsi="Avenir Book"/>
        </w:rPr>
        <w:t>at the start of the closed season, 63% of conch surveyed met this size limit but by the end of the closed season there had been a</w:t>
      </w:r>
      <w:r w:rsidR="003B14B6" w:rsidRPr="003B14B6">
        <w:rPr>
          <w:rFonts w:ascii="Avenir Book" w:hAnsi="Avenir Book"/>
        </w:rPr>
        <w:t>n</w:t>
      </w:r>
      <w:r w:rsidR="001873CE" w:rsidRPr="003B14B6">
        <w:rPr>
          <w:rFonts w:ascii="Avenir Book" w:hAnsi="Avenir Book"/>
        </w:rPr>
        <w:t xml:space="preserve"> increase to 95% of </w:t>
      </w:r>
      <w:r w:rsidRPr="003B14B6">
        <w:rPr>
          <w:rFonts w:ascii="Avenir Book" w:hAnsi="Avenir Book"/>
        </w:rPr>
        <w:t xml:space="preserve">conch </w:t>
      </w:r>
      <w:r w:rsidR="001873CE" w:rsidRPr="003B14B6">
        <w:rPr>
          <w:rFonts w:ascii="Avenir Book" w:hAnsi="Avenir Book"/>
        </w:rPr>
        <w:t>meeting</w:t>
      </w:r>
      <w:r w:rsidRPr="003B14B6">
        <w:rPr>
          <w:rFonts w:ascii="Avenir Book" w:hAnsi="Avenir Book"/>
        </w:rPr>
        <w:t xml:space="preserve"> this </w:t>
      </w:r>
      <w:r w:rsidR="001873CE" w:rsidRPr="003B14B6">
        <w:rPr>
          <w:rFonts w:ascii="Avenir Book" w:hAnsi="Avenir Book"/>
        </w:rPr>
        <w:t>size</w:t>
      </w:r>
      <w:r w:rsidRPr="003B14B6">
        <w:rPr>
          <w:rFonts w:ascii="Avenir Book" w:hAnsi="Avenir Book"/>
        </w:rPr>
        <w:t xml:space="preserve"> limit</w:t>
      </w:r>
      <w:r w:rsidR="001873CE" w:rsidRPr="003B14B6">
        <w:rPr>
          <w:rFonts w:ascii="Avenir Book" w:hAnsi="Avenir Book"/>
        </w:rPr>
        <w:t>, indicating recovery at this level. There was</w:t>
      </w:r>
      <w:r w:rsidR="00A27603">
        <w:rPr>
          <w:rFonts w:ascii="Avenir Book" w:hAnsi="Avenir Book"/>
        </w:rPr>
        <w:t xml:space="preserve"> therefore</w:t>
      </w:r>
      <w:r w:rsidR="001873CE" w:rsidRPr="003B14B6">
        <w:rPr>
          <w:rFonts w:ascii="Avenir Book" w:hAnsi="Avenir Book"/>
        </w:rPr>
        <w:t xml:space="preserve"> </w:t>
      </w:r>
      <w:r w:rsidR="001873CE" w:rsidRPr="003B14B6">
        <w:rPr>
          <w:rFonts w:ascii="Avenir Book" w:hAnsi="Avenir Book"/>
        </w:rPr>
        <w:lastRenderedPageBreak/>
        <w:t xml:space="preserve">approximately 32% more conch available for harvest at the start of the fishing season </w:t>
      </w:r>
      <w:r w:rsidR="005479DA">
        <w:rPr>
          <w:rFonts w:ascii="Avenir Book" w:hAnsi="Avenir Book"/>
        </w:rPr>
        <w:t xml:space="preserve">in </w:t>
      </w:r>
      <w:r w:rsidR="001873CE" w:rsidRPr="003B14B6">
        <w:rPr>
          <w:rFonts w:ascii="Avenir Book" w:hAnsi="Avenir Book"/>
        </w:rPr>
        <w:t>October. It is important to note, however, that</w:t>
      </w:r>
      <w:r w:rsidRPr="003B14B6">
        <w:rPr>
          <w:rFonts w:ascii="Avenir Book" w:hAnsi="Avenir Book"/>
        </w:rPr>
        <w:t xml:space="preserve"> of this </w:t>
      </w:r>
      <w:r w:rsidR="001873CE" w:rsidRPr="003B14B6">
        <w:rPr>
          <w:rFonts w:ascii="Avenir Book" w:hAnsi="Avenir Book"/>
        </w:rPr>
        <w:t xml:space="preserve">legally </w:t>
      </w:r>
      <w:r w:rsidRPr="003B14B6">
        <w:rPr>
          <w:rFonts w:ascii="Avenir Book" w:hAnsi="Avenir Book"/>
        </w:rPr>
        <w:t xml:space="preserve">harvestable quantity only </w:t>
      </w:r>
      <w:r w:rsidR="001873CE" w:rsidRPr="003B14B6">
        <w:rPr>
          <w:rFonts w:ascii="Avenir Book" w:hAnsi="Avenir Book"/>
        </w:rPr>
        <w:t>16.6</w:t>
      </w:r>
      <w:r w:rsidRPr="003B14B6">
        <w:rPr>
          <w:rFonts w:ascii="Avenir Book" w:hAnsi="Avenir Book"/>
        </w:rPr>
        <w:t xml:space="preserve">% was adult conch </w:t>
      </w:r>
      <w:r w:rsidR="001873CE" w:rsidRPr="003B14B6">
        <w:rPr>
          <w:rFonts w:ascii="Avenir Book" w:hAnsi="Avenir Book"/>
        </w:rPr>
        <w:t>(lip thickness &gt;</w:t>
      </w:r>
      <w:r w:rsidRPr="003B14B6">
        <w:rPr>
          <w:rFonts w:ascii="Avenir Book" w:hAnsi="Avenir Book"/>
        </w:rPr>
        <w:t>10 mm</w:t>
      </w:r>
      <w:r w:rsidR="001873CE" w:rsidRPr="003B14B6">
        <w:rPr>
          <w:rFonts w:ascii="Avenir Book" w:hAnsi="Avenir Book"/>
        </w:rPr>
        <w:t>)</w:t>
      </w:r>
      <w:r w:rsidRPr="003B14B6">
        <w:rPr>
          <w:rFonts w:ascii="Avenir Book" w:hAnsi="Avenir Book"/>
        </w:rPr>
        <w:t xml:space="preserve">. Majority </w:t>
      </w:r>
      <w:r w:rsidR="00151A75" w:rsidRPr="003B14B6">
        <w:rPr>
          <w:rFonts w:ascii="Avenir Book" w:hAnsi="Avenir Book"/>
        </w:rPr>
        <w:t>of the legally harvesta</w:t>
      </w:r>
      <w:r w:rsidR="003B14B6" w:rsidRPr="003B14B6">
        <w:rPr>
          <w:rFonts w:ascii="Avenir Book" w:hAnsi="Avenir Book"/>
        </w:rPr>
        <w:t>b</w:t>
      </w:r>
      <w:r w:rsidR="00151A75" w:rsidRPr="003B14B6">
        <w:rPr>
          <w:rFonts w:ascii="Avenir Book" w:hAnsi="Avenir Book"/>
        </w:rPr>
        <w:t xml:space="preserve">le conch </w:t>
      </w:r>
      <w:r w:rsidRPr="003B14B6">
        <w:rPr>
          <w:rFonts w:ascii="Avenir Book" w:hAnsi="Avenir Book"/>
        </w:rPr>
        <w:t xml:space="preserve">were </w:t>
      </w:r>
      <w:r w:rsidR="00151A75" w:rsidRPr="003B14B6">
        <w:rPr>
          <w:rFonts w:ascii="Avenir Book" w:hAnsi="Avenir Book"/>
        </w:rPr>
        <w:t xml:space="preserve">still </w:t>
      </w:r>
      <w:r w:rsidRPr="003B14B6">
        <w:rPr>
          <w:rFonts w:ascii="Avenir Book" w:hAnsi="Avenir Book"/>
        </w:rPr>
        <w:t>juveniles or sub-adults.</w:t>
      </w:r>
    </w:p>
    <w:p w14:paraId="7102F0E7" w14:textId="77777777" w:rsidR="00BB355B" w:rsidRPr="00BB355B" w:rsidRDefault="00BB355B" w:rsidP="00BD389E">
      <w:pPr>
        <w:spacing w:line="276" w:lineRule="auto"/>
        <w:ind w:firstLine="0"/>
        <w:jc w:val="both"/>
        <w:rPr>
          <w:rFonts w:ascii="Avenir Book" w:hAnsi="Avenir Book"/>
        </w:rPr>
      </w:pPr>
    </w:p>
    <w:p w14:paraId="568BCAC6" w14:textId="3EA0442F" w:rsidR="0081781B" w:rsidRPr="00A14A8F" w:rsidRDefault="00A27603" w:rsidP="00BD389E">
      <w:pPr>
        <w:spacing w:line="276" w:lineRule="auto"/>
        <w:jc w:val="both"/>
        <w:rPr>
          <w:rFonts w:ascii="Avenir Book" w:hAnsi="Avenir Book"/>
        </w:rPr>
      </w:pPr>
      <w:r w:rsidRPr="00646DF8">
        <w:rPr>
          <w:rFonts w:ascii="Avenir Book" w:hAnsi="Avenir Book"/>
        </w:rPr>
        <w:t>While q</w:t>
      </w:r>
      <w:r w:rsidR="0081781B" w:rsidRPr="00646DF8">
        <w:rPr>
          <w:rFonts w:ascii="Avenir Book" w:hAnsi="Avenir Book"/>
        </w:rPr>
        <w:t xml:space="preserve">ueen conch </w:t>
      </w:r>
      <w:r w:rsidRPr="00646DF8">
        <w:rPr>
          <w:rFonts w:ascii="Avenir Book" w:hAnsi="Avenir Book"/>
        </w:rPr>
        <w:t xml:space="preserve">densities </w:t>
      </w:r>
      <w:r w:rsidR="0081781B" w:rsidRPr="00646DF8">
        <w:rPr>
          <w:rFonts w:ascii="Avenir Book" w:hAnsi="Avenir Book"/>
        </w:rPr>
        <w:t xml:space="preserve">in the PHMR </w:t>
      </w:r>
      <w:r w:rsidRPr="00646DF8">
        <w:rPr>
          <w:rFonts w:ascii="Avenir Book" w:hAnsi="Avenir Book"/>
        </w:rPr>
        <w:t>have increased since 2020, the</w:t>
      </w:r>
      <w:r w:rsidR="00646DF8" w:rsidRPr="00646DF8">
        <w:rPr>
          <w:rFonts w:ascii="Avenir Book" w:hAnsi="Avenir Book"/>
        </w:rPr>
        <w:t xml:space="preserve">re </w:t>
      </w:r>
      <w:r w:rsidR="005479DA">
        <w:rPr>
          <w:rFonts w:ascii="Avenir Book" w:hAnsi="Avenir Book"/>
        </w:rPr>
        <w:t>was</w:t>
      </w:r>
      <w:r w:rsidR="00646DF8" w:rsidRPr="00646DF8">
        <w:rPr>
          <w:rFonts w:ascii="Avenir Book" w:hAnsi="Avenir Book"/>
        </w:rPr>
        <w:t xml:space="preserve"> </w:t>
      </w:r>
      <w:r w:rsidRPr="00646DF8">
        <w:rPr>
          <w:rFonts w:ascii="Avenir Book" w:hAnsi="Avenir Book"/>
        </w:rPr>
        <w:t xml:space="preserve">still </w:t>
      </w:r>
      <w:r w:rsidR="00646DF8" w:rsidRPr="00646DF8">
        <w:rPr>
          <w:rFonts w:ascii="Avenir Book" w:hAnsi="Avenir Book"/>
        </w:rPr>
        <w:t>a large proportion</w:t>
      </w:r>
      <w:r w:rsidRPr="00646DF8">
        <w:rPr>
          <w:rFonts w:ascii="Avenir Book" w:hAnsi="Avenir Book"/>
        </w:rPr>
        <w:t xml:space="preserve"> </w:t>
      </w:r>
      <w:r w:rsidR="0081781B" w:rsidRPr="00646DF8">
        <w:rPr>
          <w:rFonts w:ascii="Avenir Book" w:hAnsi="Avenir Book"/>
        </w:rPr>
        <w:t>of juveniles</w:t>
      </w:r>
      <w:r w:rsidR="00646DF8" w:rsidRPr="00646DF8">
        <w:rPr>
          <w:rFonts w:ascii="Avenir Book" w:hAnsi="Avenir Book"/>
        </w:rPr>
        <w:t>,</w:t>
      </w:r>
      <w:r w:rsidRPr="00646DF8">
        <w:rPr>
          <w:rFonts w:ascii="Avenir Book" w:hAnsi="Avenir Book"/>
        </w:rPr>
        <w:t xml:space="preserve"> </w:t>
      </w:r>
      <w:r w:rsidR="00646DF8" w:rsidRPr="00646DF8">
        <w:rPr>
          <w:rFonts w:ascii="Avenir Book" w:hAnsi="Avenir Book"/>
        </w:rPr>
        <w:t xml:space="preserve">conch </w:t>
      </w:r>
      <w:r w:rsidR="0081781B" w:rsidRPr="00646DF8">
        <w:rPr>
          <w:rFonts w:ascii="Avenir Book" w:hAnsi="Avenir Book"/>
        </w:rPr>
        <w:t>without a flared lip</w:t>
      </w:r>
      <w:r w:rsidR="00646DF8" w:rsidRPr="00646DF8">
        <w:rPr>
          <w:rFonts w:ascii="Avenir Book" w:hAnsi="Avenir Book"/>
        </w:rPr>
        <w:t>, (57.1%</w:t>
      </w:r>
      <w:r w:rsidR="005479DA">
        <w:rPr>
          <w:rFonts w:ascii="Avenir Book" w:hAnsi="Avenir Book"/>
        </w:rPr>
        <w:t xml:space="preserve">) </w:t>
      </w:r>
      <w:r w:rsidR="00646DF8" w:rsidRPr="00646DF8">
        <w:rPr>
          <w:rFonts w:ascii="Avenir Book" w:hAnsi="Avenir Book"/>
        </w:rPr>
        <w:t>in September</w:t>
      </w:r>
      <w:r w:rsidR="005479DA">
        <w:rPr>
          <w:rFonts w:ascii="Avenir Book" w:hAnsi="Avenir Book"/>
        </w:rPr>
        <w:t xml:space="preserve"> 2021, at the end of the closed season</w:t>
      </w:r>
      <w:r w:rsidR="00646DF8" w:rsidRPr="00646DF8">
        <w:rPr>
          <w:rFonts w:ascii="Avenir Book" w:hAnsi="Avenir Book"/>
        </w:rPr>
        <w:t xml:space="preserve">. </w:t>
      </w:r>
      <w:r w:rsidR="0081781B" w:rsidRPr="002B7B10">
        <w:rPr>
          <w:rFonts w:ascii="Avenir Book" w:hAnsi="Avenir Book"/>
        </w:rPr>
        <w:t xml:space="preserve">The </w:t>
      </w:r>
      <w:r w:rsidRPr="002B7B10">
        <w:rPr>
          <w:rFonts w:ascii="Avenir Book" w:hAnsi="Avenir Book"/>
        </w:rPr>
        <w:t xml:space="preserve">recommended </w:t>
      </w:r>
      <w:r w:rsidR="0081781B" w:rsidRPr="002B7B10">
        <w:rPr>
          <w:rFonts w:ascii="Avenir Book" w:hAnsi="Avenir Book"/>
        </w:rPr>
        <w:t>density threshold for conch populations is 88 conch ha</w:t>
      </w:r>
      <w:r w:rsidR="0081781B" w:rsidRPr="002B7B10">
        <w:rPr>
          <w:rFonts w:ascii="Avenir Book" w:hAnsi="Avenir Book"/>
          <w:vertAlign w:val="superscript"/>
        </w:rPr>
        <w:t>-1</w:t>
      </w:r>
      <w:r w:rsidR="0081781B" w:rsidRPr="002B7B10">
        <w:rPr>
          <w:rFonts w:ascii="Avenir Book" w:hAnsi="Avenir Book"/>
        </w:rPr>
        <w:t xml:space="preserve"> (McDonald 2017), but </w:t>
      </w:r>
      <w:r w:rsidRPr="002B7B10">
        <w:rPr>
          <w:rFonts w:ascii="Avenir Book" w:hAnsi="Avenir Book"/>
        </w:rPr>
        <w:t xml:space="preserve">as noted in the previous report, </w:t>
      </w:r>
      <w:r w:rsidR="0081781B" w:rsidRPr="002B7B10">
        <w:rPr>
          <w:rFonts w:ascii="Avenir Book" w:hAnsi="Avenir Book"/>
        </w:rPr>
        <w:t>this is not the density necessary to overcome the “</w:t>
      </w:r>
      <w:proofErr w:type="spellStart"/>
      <w:r w:rsidR="0081781B" w:rsidRPr="002B7B10">
        <w:rPr>
          <w:rFonts w:ascii="Avenir Book" w:hAnsi="Avenir Book"/>
        </w:rPr>
        <w:t>allee</w:t>
      </w:r>
      <w:proofErr w:type="spellEnd"/>
      <w:r w:rsidR="0081781B" w:rsidRPr="002B7B10">
        <w:rPr>
          <w:rFonts w:ascii="Avenir Book" w:hAnsi="Avenir Book"/>
        </w:rPr>
        <w:t xml:space="preserve"> effect” since this includes all conch not just adults. The threshold for reproductive success is 50 adult conch ha</w:t>
      </w:r>
      <w:r w:rsidR="0081781B" w:rsidRPr="002B7B10">
        <w:rPr>
          <w:rFonts w:ascii="Avenir Book" w:hAnsi="Avenir Book"/>
          <w:vertAlign w:val="superscript"/>
        </w:rPr>
        <w:t>-1</w:t>
      </w:r>
      <w:r w:rsidR="0081781B" w:rsidRPr="002B7B10">
        <w:rPr>
          <w:rFonts w:ascii="Avenir Book" w:hAnsi="Avenir Book"/>
        </w:rPr>
        <w:t xml:space="preserve"> (Stoner </w:t>
      </w:r>
      <w:r w:rsidR="0081781B" w:rsidRPr="002B7B10">
        <w:rPr>
          <w:rFonts w:ascii="Avenir Book" w:hAnsi="Avenir Book"/>
          <w:i/>
          <w:iCs/>
        </w:rPr>
        <w:t>et al</w:t>
      </w:r>
      <w:r w:rsidR="0081781B" w:rsidRPr="002B7B10">
        <w:rPr>
          <w:rFonts w:ascii="Avenir Book" w:hAnsi="Avenir Book"/>
        </w:rPr>
        <w:t xml:space="preserve">. 2012b, Delgado and Glazer 2020). </w:t>
      </w:r>
      <w:r w:rsidRPr="002B7B10">
        <w:rPr>
          <w:rFonts w:ascii="Avenir Book" w:hAnsi="Avenir Book"/>
        </w:rPr>
        <w:t xml:space="preserve">The current </w:t>
      </w:r>
      <w:r w:rsidR="002B7B10" w:rsidRPr="002B7B10">
        <w:rPr>
          <w:rFonts w:ascii="Avenir Book" w:hAnsi="Avenir Book"/>
        </w:rPr>
        <w:t xml:space="preserve">adult density in the PHMR at the end of the closed season </w:t>
      </w:r>
      <w:r w:rsidR="005479DA">
        <w:rPr>
          <w:rFonts w:ascii="Avenir Book" w:hAnsi="Avenir Book"/>
        </w:rPr>
        <w:t>wa</w:t>
      </w:r>
      <w:r w:rsidR="002B7B10" w:rsidRPr="002B7B10">
        <w:rPr>
          <w:rFonts w:ascii="Avenir Book" w:hAnsi="Avenir Book"/>
        </w:rPr>
        <w:t xml:space="preserve">s around 17.3 conch </w:t>
      </w:r>
      <w:r w:rsidR="005479DA" w:rsidRPr="002B7B10">
        <w:rPr>
          <w:rFonts w:ascii="Avenir Book" w:hAnsi="Avenir Book"/>
        </w:rPr>
        <w:t>ha</w:t>
      </w:r>
      <w:r w:rsidR="005479DA" w:rsidRPr="002B7B10">
        <w:rPr>
          <w:rFonts w:ascii="Avenir Book" w:hAnsi="Avenir Book"/>
          <w:vertAlign w:val="superscript"/>
        </w:rPr>
        <w:t>-1</w:t>
      </w:r>
      <w:r w:rsidR="002B7B10" w:rsidRPr="002B7B10">
        <w:rPr>
          <w:rFonts w:ascii="Avenir Book" w:hAnsi="Avenir Book"/>
        </w:rPr>
        <w:t>, based on 16.6% of the sample population being adults</w:t>
      </w:r>
      <w:r w:rsidR="0081781B" w:rsidRPr="002B7B10">
        <w:rPr>
          <w:rFonts w:ascii="Avenir Book" w:hAnsi="Avenir Book"/>
        </w:rPr>
        <w:t>.</w:t>
      </w:r>
      <w:r w:rsidR="008A21E3" w:rsidRPr="002B7B10">
        <w:rPr>
          <w:rFonts w:ascii="Avenir Book" w:hAnsi="Avenir Book"/>
        </w:rPr>
        <w:t xml:space="preserve"> </w:t>
      </w:r>
      <w:r w:rsidR="0081781B" w:rsidRPr="002B7B10">
        <w:rPr>
          <w:rFonts w:ascii="Avenir Book" w:hAnsi="Avenir Book"/>
        </w:rPr>
        <w:t xml:space="preserve">As such, the queen conch population in the PHMR is made up mainly of immature individuals. </w:t>
      </w:r>
      <w:r w:rsidR="005479DA">
        <w:rPr>
          <w:rFonts w:ascii="Avenir Book" w:hAnsi="Avenir Book"/>
        </w:rPr>
        <w:t xml:space="preserve">With insufficient adult conch, </w:t>
      </w:r>
      <w:r w:rsidR="005479DA" w:rsidRPr="00646DF8">
        <w:rPr>
          <w:rFonts w:ascii="Avenir Book" w:hAnsi="Avenir Book"/>
        </w:rPr>
        <w:t>the population’s ability to replenish itself and recover from sustained fishing pressure</w:t>
      </w:r>
      <w:r w:rsidR="005479DA">
        <w:rPr>
          <w:rFonts w:ascii="Avenir Book" w:hAnsi="Avenir Book"/>
        </w:rPr>
        <w:t xml:space="preserve">, is </w:t>
      </w:r>
      <w:r w:rsidR="005479DA" w:rsidRPr="00646DF8">
        <w:rPr>
          <w:rFonts w:ascii="Avenir Book" w:hAnsi="Avenir Book"/>
        </w:rPr>
        <w:t>directly affect</w:t>
      </w:r>
      <w:r w:rsidR="005479DA">
        <w:rPr>
          <w:rFonts w:ascii="Avenir Book" w:hAnsi="Avenir Book"/>
        </w:rPr>
        <w:t>ed</w:t>
      </w:r>
      <w:r w:rsidR="005479DA" w:rsidRPr="00646DF8">
        <w:rPr>
          <w:rFonts w:ascii="Avenir Book" w:hAnsi="Avenir Book"/>
        </w:rPr>
        <w:t>.</w:t>
      </w:r>
    </w:p>
    <w:p w14:paraId="406C34D0" w14:textId="77777777" w:rsidR="008A21E3" w:rsidRPr="00A14A8F" w:rsidRDefault="008A21E3" w:rsidP="00BD389E">
      <w:pPr>
        <w:spacing w:line="276" w:lineRule="auto"/>
        <w:jc w:val="both"/>
        <w:rPr>
          <w:rFonts w:ascii="Avenir Book" w:hAnsi="Avenir Book"/>
        </w:rPr>
      </w:pPr>
    </w:p>
    <w:p w14:paraId="29DEE3FA" w14:textId="1588CAD7" w:rsidR="0081781B" w:rsidRPr="00C94237" w:rsidRDefault="005479DA" w:rsidP="00BD389E">
      <w:pPr>
        <w:spacing w:line="276" w:lineRule="auto"/>
        <w:jc w:val="both"/>
        <w:rPr>
          <w:rFonts w:ascii="Avenir Book" w:hAnsi="Avenir Book"/>
        </w:rPr>
      </w:pPr>
      <w:r w:rsidRPr="00A14A8F">
        <w:rPr>
          <w:rFonts w:ascii="Avenir Book" w:hAnsi="Avenir Book"/>
        </w:rPr>
        <w:t>The management zones of the PHMR do not show a conclusive trend from year to year. In</w:t>
      </w:r>
      <w:r w:rsidR="009A6191" w:rsidRPr="00A14A8F">
        <w:rPr>
          <w:rFonts w:ascii="Avenir Book" w:hAnsi="Avenir Book"/>
        </w:rPr>
        <w:t xml:space="preserve"> 2021, in</w:t>
      </w:r>
      <w:r w:rsidRPr="00A14A8F">
        <w:rPr>
          <w:rFonts w:ascii="Avenir Book" w:hAnsi="Avenir Book"/>
        </w:rPr>
        <w:t xml:space="preserve"> terms of </w:t>
      </w:r>
      <w:r w:rsidR="009A6191" w:rsidRPr="00A14A8F">
        <w:rPr>
          <w:rFonts w:ascii="Avenir Book" w:hAnsi="Avenir Book"/>
        </w:rPr>
        <w:t>abundance,</w:t>
      </w:r>
      <w:r w:rsidRPr="00A14A8F">
        <w:rPr>
          <w:rFonts w:ascii="Avenir Book" w:hAnsi="Avenir Book"/>
        </w:rPr>
        <w:t xml:space="preserve"> the general use zone ha</w:t>
      </w:r>
      <w:r w:rsidR="009A6191" w:rsidRPr="00A14A8F">
        <w:rPr>
          <w:rFonts w:ascii="Avenir Book" w:hAnsi="Avenir Book"/>
        </w:rPr>
        <w:t xml:space="preserve">d the most conch while the replenishment zones seemed to harbor conch with thicker flared lips. Whereas in 2020, the replenishment zones had both a higher conch abundance and conch with thicker flared lips. </w:t>
      </w:r>
      <w:r w:rsidR="00CD072D" w:rsidRPr="00A14A8F">
        <w:rPr>
          <w:rFonts w:ascii="Avenir Book" w:hAnsi="Avenir Book"/>
        </w:rPr>
        <w:t>More conch in the general use zone is a desirable outcome given that this is the fishing zone for the marine reserve. There is some indication that the replenishment zones are</w:t>
      </w:r>
      <w:r w:rsidR="009A6191" w:rsidRPr="00A14A8F">
        <w:rPr>
          <w:rFonts w:ascii="Avenir Book" w:hAnsi="Avenir Book"/>
        </w:rPr>
        <w:t xml:space="preserve"> function</w:t>
      </w:r>
      <w:r w:rsidR="00CD072D" w:rsidRPr="00A14A8F">
        <w:rPr>
          <w:rFonts w:ascii="Avenir Book" w:hAnsi="Avenir Book"/>
        </w:rPr>
        <w:t>ing</w:t>
      </w:r>
      <w:r w:rsidR="009A6191" w:rsidRPr="00A14A8F">
        <w:rPr>
          <w:rFonts w:ascii="Avenir Book" w:hAnsi="Avenir Book"/>
        </w:rPr>
        <w:t xml:space="preserve"> as a refugia</w:t>
      </w:r>
      <w:r w:rsidR="00CD072D" w:rsidRPr="00A14A8F">
        <w:rPr>
          <w:rFonts w:ascii="Avenir Book" w:hAnsi="Avenir Book"/>
        </w:rPr>
        <w:t>,</w:t>
      </w:r>
      <w:r w:rsidR="009A6191" w:rsidRPr="00A14A8F">
        <w:rPr>
          <w:rFonts w:ascii="Avenir Book" w:hAnsi="Avenir Book"/>
        </w:rPr>
        <w:t xml:space="preserve"> but it will require more monitoring over time to determine whether the</w:t>
      </w:r>
      <w:r w:rsidR="00DA38D6">
        <w:rPr>
          <w:rFonts w:ascii="Avenir Book" w:hAnsi="Avenir Book"/>
        </w:rPr>
        <w:t xml:space="preserve">se </w:t>
      </w:r>
      <w:r w:rsidR="009A6191" w:rsidRPr="00A14A8F">
        <w:rPr>
          <w:rFonts w:ascii="Avenir Book" w:hAnsi="Avenir Book"/>
        </w:rPr>
        <w:t xml:space="preserve">zones are being effective </w:t>
      </w:r>
      <w:r w:rsidR="00CD072D" w:rsidRPr="00A14A8F">
        <w:rPr>
          <w:rFonts w:ascii="Avenir Book" w:hAnsi="Avenir Book"/>
        </w:rPr>
        <w:t>in r</w:t>
      </w:r>
      <w:r w:rsidR="009A6191" w:rsidRPr="00A14A8F">
        <w:rPr>
          <w:rFonts w:ascii="Avenir Book" w:hAnsi="Avenir Book"/>
        </w:rPr>
        <w:t>eplenish</w:t>
      </w:r>
      <w:r w:rsidR="00CD072D" w:rsidRPr="00A14A8F">
        <w:rPr>
          <w:rFonts w:ascii="Avenir Book" w:hAnsi="Avenir Book"/>
        </w:rPr>
        <w:t>ing</w:t>
      </w:r>
      <w:r w:rsidR="009A6191" w:rsidRPr="00A14A8F">
        <w:rPr>
          <w:rFonts w:ascii="Avenir Book" w:hAnsi="Avenir Book"/>
        </w:rPr>
        <w:t xml:space="preserve"> the fishery. Studies have shown that on average marine protected areas take up to </w:t>
      </w:r>
      <w:r w:rsidR="00A14A8F" w:rsidRPr="00A14A8F">
        <w:rPr>
          <w:rFonts w:ascii="Avenir Book" w:hAnsi="Avenir Book"/>
        </w:rPr>
        <w:t xml:space="preserve">ten </w:t>
      </w:r>
      <w:r w:rsidR="009A6191" w:rsidRPr="00A14A8F">
        <w:rPr>
          <w:rFonts w:ascii="Avenir Book" w:hAnsi="Avenir Book"/>
        </w:rPr>
        <w:t xml:space="preserve">years before </w:t>
      </w:r>
      <w:r w:rsidR="00A14A8F" w:rsidRPr="00A14A8F">
        <w:rPr>
          <w:rFonts w:ascii="Avenir Book" w:hAnsi="Avenir Book"/>
        </w:rPr>
        <w:t xml:space="preserve">any marked fisheries enhancement </w:t>
      </w:r>
      <w:r w:rsidR="009A6191" w:rsidRPr="00A14A8F">
        <w:rPr>
          <w:rFonts w:ascii="Avenir Book" w:hAnsi="Avenir Book"/>
        </w:rPr>
        <w:t>benefits are realized</w:t>
      </w:r>
      <w:r w:rsidR="00A14A8F" w:rsidRPr="00A14A8F">
        <w:rPr>
          <w:rFonts w:ascii="Avenir Book" w:hAnsi="Avenir Book"/>
        </w:rPr>
        <w:t xml:space="preserve"> </w:t>
      </w:r>
      <w:r w:rsidR="00942861">
        <w:rPr>
          <w:rFonts w:ascii="Avenir Book" w:hAnsi="Avenir Book"/>
        </w:rPr>
        <w:t xml:space="preserve">but can be as much as twenty years </w:t>
      </w:r>
      <w:r w:rsidR="00A14A8F" w:rsidRPr="00A14A8F">
        <w:rPr>
          <w:rFonts w:ascii="Avenir Book" w:hAnsi="Avenir Book"/>
        </w:rPr>
        <w:t>(</w:t>
      </w:r>
      <w:r w:rsidR="00942861">
        <w:rPr>
          <w:rFonts w:ascii="Avenir Book" w:hAnsi="Avenir Book"/>
        </w:rPr>
        <w:t xml:space="preserve">Roberts </w:t>
      </w:r>
      <w:r w:rsidR="00942861" w:rsidRPr="00DA38D6">
        <w:rPr>
          <w:rFonts w:ascii="Avenir Book" w:hAnsi="Avenir Book"/>
          <w:i/>
          <w:iCs/>
        </w:rPr>
        <w:t>et al</w:t>
      </w:r>
      <w:r w:rsidR="00942861">
        <w:rPr>
          <w:rFonts w:ascii="Avenir Book" w:hAnsi="Avenir Book"/>
        </w:rPr>
        <w:t xml:space="preserve">. 2001, </w:t>
      </w:r>
      <w:r w:rsidR="00A14A8F" w:rsidRPr="00A14A8F">
        <w:rPr>
          <w:rFonts w:ascii="Avenir Book" w:hAnsi="Avenir Book"/>
        </w:rPr>
        <w:t xml:space="preserve">Huntington </w:t>
      </w:r>
      <w:r w:rsidR="00A14A8F" w:rsidRPr="00A14A8F">
        <w:rPr>
          <w:rFonts w:ascii="Avenir Book" w:hAnsi="Avenir Book"/>
          <w:i/>
          <w:iCs/>
        </w:rPr>
        <w:t>et al</w:t>
      </w:r>
      <w:r w:rsidR="00A14A8F" w:rsidRPr="00A14A8F">
        <w:rPr>
          <w:rFonts w:ascii="Avenir Book" w:hAnsi="Avenir Book"/>
        </w:rPr>
        <w:t xml:space="preserve">. 2011), </w:t>
      </w:r>
      <w:r w:rsidR="006B081E">
        <w:rPr>
          <w:rFonts w:ascii="Avenir Book" w:hAnsi="Avenir Book"/>
        </w:rPr>
        <w:t xml:space="preserve">for </w:t>
      </w:r>
      <w:r w:rsidR="00A14A8F" w:rsidRPr="00A14A8F">
        <w:rPr>
          <w:rFonts w:ascii="Avenir Book" w:hAnsi="Avenir Book"/>
        </w:rPr>
        <w:t>such increase in biomass, densities, reproductive output, among others (</w:t>
      </w:r>
      <w:r w:rsidR="00DA38D6">
        <w:rPr>
          <w:rFonts w:ascii="Avenir Book" w:hAnsi="Avenir Book"/>
        </w:rPr>
        <w:t xml:space="preserve">Roberts </w:t>
      </w:r>
      <w:r w:rsidR="00DA38D6" w:rsidRPr="00DA38D6">
        <w:rPr>
          <w:rFonts w:ascii="Avenir Book" w:hAnsi="Avenir Book"/>
          <w:i/>
          <w:iCs/>
        </w:rPr>
        <w:t>et al</w:t>
      </w:r>
      <w:r w:rsidR="00DA38D6">
        <w:rPr>
          <w:rFonts w:ascii="Avenir Book" w:hAnsi="Avenir Book"/>
        </w:rPr>
        <w:t xml:space="preserve">. 2001, </w:t>
      </w:r>
      <w:proofErr w:type="spellStart"/>
      <w:r w:rsidR="00A14A8F" w:rsidRPr="00A14A8F">
        <w:rPr>
          <w:rFonts w:ascii="Avenir Book" w:hAnsi="Avenir Book" w:cs="Times New Roman"/>
        </w:rPr>
        <w:t>Gell</w:t>
      </w:r>
      <w:proofErr w:type="spellEnd"/>
      <w:r w:rsidR="00A14A8F" w:rsidRPr="00A14A8F">
        <w:rPr>
          <w:rFonts w:ascii="Avenir Book" w:hAnsi="Avenir Book" w:cs="Times New Roman"/>
        </w:rPr>
        <w:t xml:space="preserve"> and Roberts 2003</w:t>
      </w:r>
      <w:r w:rsidR="00DA38D6">
        <w:rPr>
          <w:rFonts w:ascii="Avenir Book" w:hAnsi="Avenir Book" w:cs="Times New Roman"/>
        </w:rPr>
        <w:t xml:space="preserve">, </w:t>
      </w:r>
      <w:r w:rsidR="00A14A8F" w:rsidRPr="00A14A8F">
        <w:rPr>
          <w:rFonts w:ascii="Avenir Book" w:hAnsi="Avenir Book" w:cs="Times New Roman"/>
        </w:rPr>
        <w:t>Halpern 2003)</w:t>
      </w:r>
      <w:r w:rsidR="00A14A8F" w:rsidRPr="00A14A8F">
        <w:rPr>
          <w:rFonts w:ascii="Avenir Book" w:hAnsi="Avenir Book"/>
        </w:rPr>
        <w:t>.</w:t>
      </w:r>
      <w:r w:rsidR="009A6191" w:rsidRPr="00A14A8F">
        <w:rPr>
          <w:rFonts w:ascii="Avenir Book" w:hAnsi="Avenir Book"/>
        </w:rPr>
        <w:t xml:space="preserve"> </w:t>
      </w:r>
      <w:r w:rsidR="00CD072D" w:rsidRPr="00A14A8F">
        <w:rPr>
          <w:rFonts w:ascii="Avenir Book" w:hAnsi="Avenir Book"/>
        </w:rPr>
        <w:t xml:space="preserve"> As highlighted previously, </w:t>
      </w:r>
      <w:r w:rsidR="0081781B" w:rsidRPr="00A14A8F">
        <w:rPr>
          <w:rFonts w:ascii="Avenir Book" w:hAnsi="Avenir Book"/>
        </w:rPr>
        <w:t xml:space="preserve">these replenishment zones are very small and </w:t>
      </w:r>
      <w:r w:rsidR="009354FB">
        <w:rPr>
          <w:rFonts w:ascii="Avenir Book" w:hAnsi="Avenir Book"/>
        </w:rPr>
        <w:t xml:space="preserve">further assessment is necessary to determine </w:t>
      </w:r>
      <w:r w:rsidR="007D6381">
        <w:rPr>
          <w:rFonts w:ascii="Avenir Book" w:hAnsi="Avenir Book"/>
        </w:rPr>
        <w:t>an effective</w:t>
      </w:r>
      <w:r w:rsidR="009354FB">
        <w:rPr>
          <w:rFonts w:ascii="Avenir Book" w:hAnsi="Avenir Book"/>
        </w:rPr>
        <w:t xml:space="preserve"> size </w:t>
      </w:r>
      <w:r w:rsidR="007D6381">
        <w:rPr>
          <w:rFonts w:ascii="Avenir Book" w:hAnsi="Avenir Book"/>
        </w:rPr>
        <w:t>to allow</w:t>
      </w:r>
      <w:r w:rsidR="009354FB">
        <w:rPr>
          <w:rFonts w:ascii="Avenir Book" w:hAnsi="Avenir Book"/>
        </w:rPr>
        <w:t xml:space="preserve"> for fishery benefits (Halpern 2003)</w:t>
      </w:r>
      <w:r w:rsidR="0081781B" w:rsidRPr="00A14A8F">
        <w:rPr>
          <w:rFonts w:ascii="Avenir Book" w:hAnsi="Avenir Book"/>
        </w:rPr>
        <w:t xml:space="preserve">. Expansion of these replenishment zones </w:t>
      </w:r>
      <w:r w:rsidR="00CD072D" w:rsidRPr="00A14A8F">
        <w:rPr>
          <w:rFonts w:ascii="Avenir Book" w:hAnsi="Avenir Book"/>
        </w:rPr>
        <w:t>is</w:t>
      </w:r>
      <w:r w:rsidR="0081781B" w:rsidRPr="00A14A8F">
        <w:rPr>
          <w:rFonts w:ascii="Avenir Book" w:hAnsi="Avenir Book"/>
        </w:rPr>
        <w:t xml:space="preserve"> a strategy that should be </w:t>
      </w:r>
      <w:r w:rsidR="00CD072D" w:rsidRPr="00C94237">
        <w:rPr>
          <w:rFonts w:ascii="Avenir Book" w:hAnsi="Avenir Book"/>
        </w:rPr>
        <w:t>prioritized.</w:t>
      </w:r>
    </w:p>
    <w:p w14:paraId="74A894B6" w14:textId="77777777" w:rsidR="00A27603" w:rsidRPr="00C94237" w:rsidRDefault="00A27603" w:rsidP="00BD389E">
      <w:pPr>
        <w:spacing w:line="276" w:lineRule="auto"/>
        <w:ind w:firstLine="0"/>
        <w:jc w:val="both"/>
        <w:rPr>
          <w:rFonts w:ascii="Avenir Book" w:hAnsi="Avenir Book"/>
        </w:rPr>
      </w:pPr>
    </w:p>
    <w:p w14:paraId="6FBE2E03" w14:textId="03B80D41" w:rsidR="00C94237" w:rsidRDefault="00C94237" w:rsidP="00BD389E">
      <w:pPr>
        <w:spacing w:line="276" w:lineRule="auto"/>
        <w:jc w:val="both"/>
        <w:rPr>
          <w:rFonts w:ascii="Avenir Book" w:hAnsi="Avenir Book"/>
        </w:rPr>
      </w:pPr>
      <w:r w:rsidRPr="00C94237">
        <w:rPr>
          <w:rFonts w:ascii="Avenir Book" w:hAnsi="Avenir Book"/>
        </w:rPr>
        <w:t xml:space="preserve">There is continuing evidence that </w:t>
      </w:r>
      <w:r w:rsidR="0081781B" w:rsidRPr="00C94237">
        <w:rPr>
          <w:rFonts w:ascii="Avenir Book" w:hAnsi="Avenir Book"/>
        </w:rPr>
        <w:t xml:space="preserve">the queen conch </w:t>
      </w:r>
      <w:r w:rsidRPr="00C94237">
        <w:rPr>
          <w:rFonts w:ascii="Avenir Book" w:hAnsi="Avenir Book"/>
        </w:rPr>
        <w:t xml:space="preserve">population in the </w:t>
      </w:r>
      <w:r w:rsidR="0081781B" w:rsidRPr="00C94237">
        <w:rPr>
          <w:rFonts w:ascii="Avenir Book" w:hAnsi="Avenir Book"/>
        </w:rPr>
        <w:t xml:space="preserve">Port Honduras Marine Reserve </w:t>
      </w:r>
      <w:r w:rsidRPr="00C94237">
        <w:rPr>
          <w:rFonts w:ascii="Avenir Book" w:hAnsi="Avenir Book"/>
        </w:rPr>
        <w:t>is</w:t>
      </w:r>
      <w:r w:rsidR="0081781B" w:rsidRPr="00C94237">
        <w:rPr>
          <w:rFonts w:ascii="Avenir Book" w:hAnsi="Avenir Book"/>
        </w:rPr>
        <w:t xml:space="preserve"> overexploited </w:t>
      </w:r>
      <w:r w:rsidRPr="00C94237">
        <w:rPr>
          <w:rFonts w:ascii="Avenir Book" w:hAnsi="Avenir Book"/>
        </w:rPr>
        <w:t xml:space="preserve">given the low abundance and </w:t>
      </w:r>
      <w:r w:rsidR="0081781B" w:rsidRPr="00C94237">
        <w:rPr>
          <w:rFonts w:ascii="Avenir Book" w:hAnsi="Avenir Book"/>
        </w:rPr>
        <w:t xml:space="preserve">majority of immature individuals. </w:t>
      </w:r>
      <w:r w:rsidRPr="00C94237">
        <w:rPr>
          <w:rFonts w:ascii="Avenir Book" w:hAnsi="Avenir Book"/>
        </w:rPr>
        <w:t>However, a</w:t>
      </w:r>
      <w:r w:rsidR="0081781B" w:rsidRPr="00C94237">
        <w:rPr>
          <w:rFonts w:ascii="Avenir Book" w:hAnsi="Avenir Book"/>
        </w:rPr>
        <w:t xml:space="preserve"> major </w:t>
      </w:r>
      <w:r w:rsidRPr="00C94237">
        <w:rPr>
          <w:rFonts w:ascii="Avenir Book" w:hAnsi="Avenir Book"/>
        </w:rPr>
        <w:t xml:space="preserve">data </w:t>
      </w:r>
      <w:r w:rsidR="0081781B" w:rsidRPr="00C94237">
        <w:rPr>
          <w:rFonts w:ascii="Avenir Book" w:hAnsi="Avenir Book"/>
        </w:rPr>
        <w:t xml:space="preserve">gap for </w:t>
      </w:r>
      <w:r w:rsidRPr="00C94237">
        <w:rPr>
          <w:rFonts w:ascii="Avenir Book" w:hAnsi="Avenir Book"/>
        </w:rPr>
        <w:t xml:space="preserve">adaptive </w:t>
      </w:r>
      <w:r w:rsidR="0081781B" w:rsidRPr="00C94237">
        <w:rPr>
          <w:rFonts w:ascii="Avenir Book" w:hAnsi="Avenir Book"/>
        </w:rPr>
        <w:t xml:space="preserve">management </w:t>
      </w:r>
      <w:r w:rsidRPr="00C94237">
        <w:rPr>
          <w:rFonts w:ascii="Avenir Book" w:hAnsi="Avenir Book"/>
        </w:rPr>
        <w:t xml:space="preserve">is still the lack of </w:t>
      </w:r>
      <w:r w:rsidR="0081781B" w:rsidRPr="00C94237">
        <w:rPr>
          <w:rFonts w:ascii="Avenir Book" w:hAnsi="Avenir Book"/>
        </w:rPr>
        <w:t xml:space="preserve">queen conch landings </w:t>
      </w:r>
      <w:r w:rsidRPr="00C94237">
        <w:rPr>
          <w:rFonts w:ascii="Avenir Book" w:hAnsi="Avenir Book"/>
        </w:rPr>
        <w:t xml:space="preserve">from </w:t>
      </w:r>
      <w:r w:rsidR="0081781B" w:rsidRPr="00C94237">
        <w:rPr>
          <w:rFonts w:ascii="Avenir Book" w:hAnsi="Avenir Book"/>
        </w:rPr>
        <w:t xml:space="preserve">the PHMR. This would provide more details on the mean shell length and lip thickness </w:t>
      </w:r>
      <w:r w:rsidRPr="00C94237">
        <w:rPr>
          <w:rFonts w:ascii="Avenir Book" w:hAnsi="Avenir Book"/>
        </w:rPr>
        <w:t xml:space="preserve">of conch </w:t>
      </w:r>
      <w:r w:rsidR="0081781B" w:rsidRPr="00C94237">
        <w:rPr>
          <w:rFonts w:ascii="Avenir Book" w:hAnsi="Avenir Book"/>
        </w:rPr>
        <w:t xml:space="preserve">harvested </w:t>
      </w:r>
      <w:r w:rsidRPr="00C94237">
        <w:rPr>
          <w:rFonts w:ascii="Avenir Book" w:hAnsi="Avenir Book"/>
        </w:rPr>
        <w:t xml:space="preserve">from the marine reserve </w:t>
      </w:r>
      <w:r w:rsidR="0081781B" w:rsidRPr="00C94237">
        <w:rPr>
          <w:rFonts w:ascii="Avenir Book" w:hAnsi="Avenir Book"/>
        </w:rPr>
        <w:t xml:space="preserve">and </w:t>
      </w:r>
      <w:r w:rsidRPr="00C94237">
        <w:rPr>
          <w:rFonts w:ascii="Avenir Book" w:hAnsi="Avenir Book"/>
        </w:rPr>
        <w:t xml:space="preserve">would </w:t>
      </w:r>
      <w:r w:rsidR="0081781B" w:rsidRPr="00C94237">
        <w:rPr>
          <w:rFonts w:ascii="Avenir Book" w:hAnsi="Avenir Book"/>
        </w:rPr>
        <w:t xml:space="preserve">provide an estimate of Catch Per Unit of </w:t>
      </w:r>
      <w:r w:rsidR="0081781B" w:rsidRPr="00C94237">
        <w:rPr>
          <w:rFonts w:ascii="Avenir Book" w:hAnsi="Avenir Book"/>
        </w:rPr>
        <w:lastRenderedPageBreak/>
        <w:t>Effort (CPUE)</w:t>
      </w:r>
      <w:r w:rsidRPr="00C94237">
        <w:rPr>
          <w:rFonts w:ascii="Avenir Book" w:hAnsi="Avenir Book"/>
        </w:rPr>
        <w:t>, and relative abundance. Such landings data would also provide information on the</w:t>
      </w:r>
      <w:r w:rsidR="0081781B" w:rsidRPr="00C94237">
        <w:rPr>
          <w:rFonts w:ascii="Avenir Book" w:hAnsi="Avenir Book"/>
        </w:rPr>
        <w:t xml:space="preserve"> total number of </w:t>
      </w:r>
      <w:r w:rsidRPr="00C94237">
        <w:rPr>
          <w:rFonts w:ascii="Avenir Book" w:hAnsi="Avenir Book"/>
        </w:rPr>
        <w:t xml:space="preserve">active </w:t>
      </w:r>
      <w:r w:rsidR="0081781B" w:rsidRPr="00C94237">
        <w:rPr>
          <w:rFonts w:ascii="Avenir Book" w:hAnsi="Avenir Book"/>
        </w:rPr>
        <w:t xml:space="preserve">fishers, average catch per fisher and conch production, </w:t>
      </w:r>
      <w:r w:rsidRPr="00C94237">
        <w:rPr>
          <w:rFonts w:ascii="Avenir Book" w:hAnsi="Avenir Book"/>
        </w:rPr>
        <w:t xml:space="preserve">which are all important data to determine the level of fishing effort </w:t>
      </w:r>
      <w:r>
        <w:rPr>
          <w:rFonts w:ascii="Avenir Book" w:hAnsi="Avenir Book"/>
        </w:rPr>
        <w:t>within</w:t>
      </w:r>
      <w:r w:rsidRPr="00C94237">
        <w:rPr>
          <w:rFonts w:ascii="Avenir Book" w:hAnsi="Avenir Book"/>
        </w:rPr>
        <w:t xml:space="preserve"> the marine reserve</w:t>
      </w:r>
      <w:r>
        <w:rPr>
          <w:rFonts w:ascii="Avenir Book" w:hAnsi="Avenir Book"/>
        </w:rPr>
        <w:t>, a current gap</w:t>
      </w:r>
      <w:r w:rsidRPr="00C94237">
        <w:rPr>
          <w:rFonts w:ascii="Avenir Book" w:hAnsi="Avenir Book"/>
        </w:rPr>
        <w:t xml:space="preserve">. With this information more definitive strategies can be developed such as area specific quotas </w:t>
      </w:r>
      <w:r w:rsidRPr="00BD389E">
        <w:rPr>
          <w:rFonts w:ascii="Avenir Book" w:hAnsi="Avenir Book"/>
        </w:rPr>
        <w:t xml:space="preserve">to ensure improved catch landings.  </w:t>
      </w:r>
    </w:p>
    <w:p w14:paraId="46E12E36" w14:textId="77777777" w:rsidR="00BD389E" w:rsidRPr="00BD389E" w:rsidRDefault="00BD389E" w:rsidP="00BD389E">
      <w:pPr>
        <w:spacing w:line="276" w:lineRule="auto"/>
        <w:jc w:val="both"/>
        <w:rPr>
          <w:rFonts w:ascii="Avenir Book" w:hAnsi="Avenir Book"/>
        </w:rPr>
      </w:pPr>
    </w:p>
    <w:p w14:paraId="3E09F9E5" w14:textId="2B384D0F" w:rsidR="0081781B" w:rsidRDefault="00C94237" w:rsidP="00BD389E">
      <w:pPr>
        <w:spacing w:line="276" w:lineRule="auto"/>
        <w:jc w:val="both"/>
        <w:rPr>
          <w:rFonts w:ascii="Avenir Book" w:hAnsi="Avenir Book"/>
        </w:rPr>
      </w:pPr>
      <w:r w:rsidRPr="00BD389E">
        <w:rPr>
          <w:rFonts w:ascii="Avenir Book" w:hAnsi="Avenir Book"/>
        </w:rPr>
        <w:t xml:space="preserve">Management strategies need to incorporate the establishment of landing sites to collect </w:t>
      </w:r>
      <w:r w:rsidR="0081781B" w:rsidRPr="00BD389E">
        <w:rPr>
          <w:rFonts w:ascii="Avenir Book" w:hAnsi="Avenir Book"/>
        </w:rPr>
        <w:t xml:space="preserve">data </w:t>
      </w:r>
      <w:r w:rsidRPr="00BD389E">
        <w:rPr>
          <w:rFonts w:ascii="Avenir Book" w:hAnsi="Avenir Book"/>
        </w:rPr>
        <w:t>on</w:t>
      </w:r>
      <w:r w:rsidR="0081781B" w:rsidRPr="00BD389E">
        <w:rPr>
          <w:rFonts w:ascii="Avenir Book" w:hAnsi="Avenir Book"/>
        </w:rPr>
        <w:t xml:space="preserve"> shell length, lip thickness, dirty weight, market clean weight, gender and maturity (external morphology of sexual structures – verge and egg groove (</w:t>
      </w:r>
      <w:proofErr w:type="spellStart"/>
      <w:r w:rsidR="0081781B" w:rsidRPr="00BD389E">
        <w:rPr>
          <w:rFonts w:ascii="Avenir Book" w:hAnsi="Avenir Book"/>
        </w:rPr>
        <w:t>Appeldoorn</w:t>
      </w:r>
      <w:proofErr w:type="spellEnd"/>
      <w:r w:rsidR="0081781B" w:rsidRPr="00BD389E">
        <w:rPr>
          <w:rFonts w:ascii="Avenir Book" w:hAnsi="Avenir Book"/>
        </w:rPr>
        <w:t xml:space="preserve"> 1988, Buckland 1989)) </w:t>
      </w:r>
      <w:r w:rsidRPr="00BD389E">
        <w:rPr>
          <w:rFonts w:ascii="Avenir Book" w:hAnsi="Avenir Book"/>
        </w:rPr>
        <w:t>so that</w:t>
      </w:r>
      <w:r w:rsidR="0081781B" w:rsidRPr="00BD389E">
        <w:rPr>
          <w:rFonts w:ascii="Avenir Book" w:hAnsi="Avenir Book"/>
        </w:rPr>
        <w:t xml:space="preserve"> the structure of the harvested portion of the population </w:t>
      </w:r>
      <w:r w:rsidRPr="00BD389E">
        <w:rPr>
          <w:rFonts w:ascii="Avenir Book" w:hAnsi="Avenir Book"/>
        </w:rPr>
        <w:t xml:space="preserve">can be assessed </w:t>
      </w:r>
      <w:r w:rsidR="0081781B" w:rsidRPr="00BD389E">
        <w:rPr>
          <w:rFonts w:ascii="Avenir Book" w:hAnsi="Avenir Book"/>
        </w:rPr>
        <w:t xml:space="preserve">on a long-term basis. This would allow for more accurate trends on how the fishery may be impacting the population, and thereby better inform adaptive management of queen conch fisheries within the PHMR. </w:t>
      </w:r>
      <w:r w:rsidRPr="00BD389E">
        <w:rPr>
          <w:rFonts w:ascii="Avenir Book" w:hAnsi="Avenir Book"/>
        </w:rPr>
        <w:t xml:space="preserve">If time and resources allow, it would be useful </w:t>
      </w:r>
      <w:r w:rsidR="0081781B" w:rsidRPr="00BD389E">
        <w:rPr>
          <w:rFonts w:ascii="Avenir Book" w:hAnsi="Avenir Book"/>
        </w:rPr>
        <w:t xml:space="preserve">to assess deeper waters (10-20 m) to determine whether there is </w:t>
      </w:r>
      <w:r w:rsidRPr="00BD389E">
        <w:rPr>
          <w:rFonts w:ascii="Avenir Book" w:hAnsi="Avenir Book"/>
        </w:rPr>
        <w:t xml:space="preserve">a </w:t>
      </w:r>
      <w:r w:rsidR="0081781B" w:rsidRPr="00BD389E">
        <w:rPr>
          <w:rFonts w:ascii="Avenir Book" w:hAnsi="Avenir Book"/>
        </w:rPr>
        <w:t>reproductive stock of spawning adults (&gt;20 mm) within in the area</w:t>
      </w:r>
      <w:r w:rsidRPr="00BD389E">
        <w:rPr>
          <w:rFonts w:ascii="Avenir Book" w:hAnsi="Avenir Book"/>
        </w:rPr>
        <w:t xml:space="preserve">, within suitable habitats such as </w:t>
      </w:r>
      <w:r w:rsidR="0081781B" w:rsidRPr="00BD389E">
        <w:rPr>
          <w:rFonts w:ascii="Avenir Book" w:hAnsi="Avenir Book"/>
        </w:rPr>
        <w:t xml:space="preserve">such as sand channels or sandy areas with sparse seagrass and/or algae. </w:t>
      </w:r>
      <w:r w:rsidR="00BD389E" w:rsidRPr="00BD389E">
        <w:rPr>
          <w:rFonts w:ascii="Avenir Book" w:hAnsi="Avenir Book"/>
        </w:rPr>
        <w:t>This would help provide</w:t>
      </w:r>
      <w:r w:rsidR="0081781B" w:rsidRPr="00BD389E">
        <w:rPr>
          <w:rFonts w:ascii="Avenir Book" w:hAnsi="Avenir Book"/>
        </w:rPr>
        <w:t xml:space="preserve"> </w:t>
      </w:r>
      <w:r w:rsidR="00BD389E">
        <w:rPr>
          <w:rFonts w:ascii="Avenir Book" w:hAnsi="Avenir Book"/>
        </w:rPr>
        <w:t xml:space="preserve">a </w:t>
      </w:r>
      <w:r w:rsidR="00BD389E" w:rsidRPr="00BD389E">
        <w:rPr>
          <w:rFonts w:ascii="Avenir Book" w:hAnsi="Avenir Book"/>
        </w:rPr>
        <w:t xml:space="preserve">better </w:t>
      </w:r>
      <w:r w:rsidR="0081781B" w:rsidRPr="00BD389E">
        <w:rPr>
          <w:rFonts w:ascii="Avenir Book" w:hAnsi="Avenir Book"/>
        </w:rPr>
        <w:t>understand</w:t>
      </w:r>
      <w:r w:rsidR="00BD389E" w:rsidRPr="00BD389E">
        <w:rPr>
          <w:rFonts w:ascii="Avenir Book" w:hAnsi="Avenir Book"/>
        </w:rPr>
        <w:t>ing of</w:t>
      </w:r>
      <w:r w:rsidR="0081781B" w:rsidRPr="00BD389E">
        <w:rPr>
          <w:rFonts w:ascii="Avenir Book" w:hAnsi="Avenir Book"/>
        </w:rPr>
        <w:t xml:space="preserve"> the source of conch recruits for the </w:t>
      </w:r>
      <w:r w:rsidR="00BD389E" w:rsidRPr="00BD389E">
        <w:rPr>
          <w:rFonts w:ascii="Avenir Book" w:hAnsi="Avenir Book"/>
        </w:rPr>
        <w:t>PHMR</w:t>
      </w:r>
      <w:r w:rsidR="0081781B" w:rsidRPr="00BD389E">
        <w:rPr>
          <w:rFonts w:ascii="Avenir Book" w:hAnsi="Avenir Book"/>
        </w:rPr>
        <w:t>.</w:t>
      </w:r>
    </w:p>
    <w:p w14:paraId="3C624AAE" w14:textId="77777777" w:rsidR="00AB24F2" w:rsidRPr="00AB24F2" w:rsidRDefault="00AB24F2" w:rsidP="00AB24F2">
      <w:pPr>
        <w:spacing w:line="276" w:lineRule="auto"/>
        <w:jc w:val="both"/>
        <w:rPr>
          <w:rFonts w:ascii="Avenir Book" w:hAnsi="Avenir Book"/>
        </w:rPr>
      </w:pPr>
    </w:p>
    <w:p w14:paraId="4ECE2228" w14:textId="2A303E89" w:rsidR="00CD27A6" w:rsidRPr="00AB24F2" w:rsidRDefault="0081781B" w:rsidP="00AB24F2">
      <w:pPr>
        <w:spacing w:line="276" w:lineRule="auto"/>
        <w:jc w:val="both"/>
        <w:rPr>
          <w:rFonts w:ascii="Avenir Book" w:hAnsi="Avenir Book"/>
        </w:rPr>
      </w:pPr>
      <w:r w:rsidRPr="00AB24F2">
        <w:rPr>
          <w:rFonts w:ascii="Avenir Book" w:hAnsi="Avenir Book"/>
        </w:rPr>
        <w:t xml:space="preserve">In </w:t>
      </w:r>
      <w:r w:rsidR="00AA3129" w:rsidRPr="00AB24F2">
        <w:rPr>
          <w:rFonts w:ascii="Avenir Book" w:hAnsi="Avenir Book"/>
        </w:rPr>
        <w:t>summary</w:t>
      </w:r>
      <w:r w:rsidRPr="00AB24F2">
        <w:rPr>
          <w:rFonts w:ascii="Avenir Book" w:hAnsi="Avenir Book"/>
        </w:rPr>
        <w:t xml:space="preserve">, </w:t>
      </w:r>
      <w:r w:rsidR="00942861">
        <w:rPr>
          <w:rFonts w:ascii="Avenir Book" w:hAnsi="Avenir Book"/>
        </w:rPr>
        <w:t>w</w:t>
      </w:r>
      <w:r w:rsidR="00AA3129" w:rsidRPr="00AB24F2">
        <w:rPr>
          <w:rFonts w:ascii="Avenir Book" w:hAnsi="Avenir Book"/>
        </w:rPr>
        <w:t>ith</w:t>
      </w:r>
      <w:r w:rsidRPr="00AB24F2">
        <w:rPr>
          <w:rFonts w:ascii="Avenir Book" w:hAnsi="Avenir Book"/>
        </w:rPr>
        <w:t xml:space="preserve"> data available on conch landings</w:t>
      </w:r>
      <w:r w:rsidR="00AA3129" w:rsidRPr="00AB24F2">
        <w:rPr>
          <w:rFonts w:ascii="Avenir Book" w:hAnsi="Avenir Book"/>
        </w:rPr>
        <w:t xml:space="preserve"> from an established data collection program</w:t>
      </w:r>
      <w:r w:rsidRPr="00AB24F2">
        <w:rPr>
          <w:rFonts w:ascii="Avenir Book" w:hAnsi="Avenir Book"/>
        </w:rPr>
        <w:t>, combined with</w:t>
      </w:r>
      <w:r w:rsidR="00AA3129" w:rsidRPr="00AB24F2">
        <w:rPr>
          <w:rFonts w:ascii="Avenir Book" w:hAnsi="Avenir Book"/>
        </w:rPr>
        <w:t xml:space="preserve"> the</w:t>
      </w:r>
      <w:r w:rsidRPr="00AB24F2">
        <w:rPr>
          <w:rFonts w:ascii="Avenir Book" w:hAnsi="Avenir Book"/>
        </w:rPr>
        <w:t xml:space="preserve"> LAMP data, an annual catch quota for Fishing Area 5 (PHMR) </w:t>
      </w:r>
      <w:r w:rsidR="00AA3129" w:rsidRPr="00AB24F2">
        <w:rPr>
          <w:rFonts w:ascii="Avenir Book" w:hAnsi="Avenir Book"/>
        </w:rPr>
        <w:t xml:space="preserve">can </w:t>
      </w:r>
      <w:r w:rsidRPr="00AB24F2">
        <w:rPr>
          <w:rFonts w:ascii="Avenir Book" w:hAnsi="Avenir Book"/>
        </w:rPr>
        <w:t>be developed to allow for more sustainable harvests based</w:t>
      </w:r>
      <w:r w:rsidR="00AA3129" w:rsidRPr="00AB24F2">
        <w:rPr>
          <w:rFonts w:ascii="Avenir Book" w:hAnsi="Avenir Book"/>
        </w:rPr>
        <w:t xml:space="preserve">, thereby enabling the marine reserve to realize its management </w:t>
      </w:r>
      <w:r w:rsidR="00C410B9" w:rsidRPr="00AB24F2">
        <w:rPr>
          <w:rFonts w:ascii="Avenir Book" w:hAnsi="Avenir Book"/>
        </w:rPr>
        <w:t>goal</w:t>
      </w:r>
      <w:r w:rsidR="00AA3129" w:rsidRPr="00AB24F2">
        <w:rPr>
          <w:rFonts w:ascii="Avenir Book" w:hAnsi="Avenir Book"/>
        </w:rPr>
        <w:t xml:space="preserve"> of a sustainable fishery</w:t>
      </w:r>
      <w:r w:rsidR="00C410B9" w:rsidRPr="00AB24F2">
        <w:rPr>
          <w:rFonts w:ascii="Avenir Book" w:hAnsi="Avenir Book"/>
        </w:rPr>
        <w:t xml:space="preserve"> through reduced fishing pressure</w:t>
      </w:r>
      <w:r w:rsidRPr="00AB24F2">
        <w:rPr>
          <w:rFonts w:ascii="Avenir Book" w:hAnsi="Avenir Book"/>
        </w:rPr>
        <w:t xml:space="preserve">. </w:t>
      </w:r>
      <w:r w:rsidR="00942861">
        <w:rPr>
          <w:rFonts w:ascii="Avenir Book" w:hAnsi="Avenir Book"/>
        </w:rPr>
        <w:t>A</w:t>
      </w:r>
      <w:r w:rsidR="00942861" w:rsidRPr="00AB24F2">
        <w:rPr>
          <w:rFonts w:ascii="Avenir Book" w:hAnsi="Avenir Book"/>
        </w:rPr>
        <w:t xml:space="preserve">s has been recommended previously and supported by scientific publications within Belize and the region on conch maturity, the conch regulations should be revised to introduce a management measure for lip thickness at 50% maturity, &gt;10 mm. </w:t>
      </w:r>
      <w:r w:rsidR="00AA3129" w:rsidRPr="00AB24F2">
        <w:rPr>
          <w:rFonts w:ascii="Avenir Book" w:hAnsi="Avenir Book"/>
        </w:rPr>
        <w:t>Until these steps are taken the</w:t>
      </w:r>
      <w:r w:rsidRPr="00AB24F2">
        <w:rPr>
          <w:rFonts w:ascii="Avenir Book" w:hAnsi="Avenir Book"/>
        </w:rPr>
        <w:t xml:space="preserve"> conch populations </w:t>
      </w:r>
      <w:r w:rsidR="00AA3129" w:rsidRPr="00AB24F2">
        <w:rPr>
          <w:rFonts w:ascii="Avenir Book" w:hAnsi="Avenir Book"/>
        </w:rPr>
        <w:t xml:space="preserve">of the PHMR may </w:t>
      </w:r>
      <w:r w:rsidRPr="00AB24F2">
        <w:rPr>
          <w:rFonts w:ascii="Avenir Book" w:hAnsi="Avenir Book"/>
        </w:rPr>
        <w:t>continue to decline</w:t>
      </w:r>
      <w:r w:rsidR="00AA3129" w:rsidRPr="00AB24F2">
        <w:rPr>
          <w:rFonts w:ascii="Avenir Book" w:hAnsi="Avenir Book"/>
        </w:rPr>
        <w:t xml:space="preserve"> or experience reduced productivity</w:t>
      </w:r>
      <w:r w:rsidRPr="00AB24F2">
        <w:rPr>
          <w:rFonts w:ascii="Avenir Book" w:hAnsi="Avenir Book"/>
        </w:rPr>
        <w:t>.</w:t>
      </w:r>
      <w:r w:rsidR="00CD27A6" w:rsidRPr="00AB24F2">
        <w:rPr>
          <w:rFonts w:ascii="Avenir Book" w:hAnsi="Avenir Book"/>
        </w:rPr>
        <w:t xml:space="preserve"> </w:t>
      </w:r>
    </w:p>
    <w:p w14:paraId="55012555" w14:textId="77777777" w:rsidR="00CD27A6" w:rsidRDefault="00CD27A6" w:rsidP="00CD27A6">
      <w:pPr>
        <w:spacing w:line="276" w:lineRule="auto"/>
        <w:jc w:val="both"/>
        <w:rPr>
          <w:rFonts w:ascii="Georgia" w:hAnsi="Georgia"/>
        </w:rPr>
      </w:pPr>
    </w:p>
    <w:p w14:paraId="2D096509" w14:textId="5C75C28A" w:rsidR="00226EB9" w:rsidRPr="00CD27A6" w:rsidRDefault="00226EB9" w:rsidP="00226EB9">
      <w:pPr>
        <w:spacing w:line="276" w:lineRule="auto"/>
        <w:jc w:val="both"/>
        <w:rPr>
          <w:rFonts w:ascii="Bangla MN" w:hAnsi="Bangla MN" w:cs="Bangla MN"/>
          <w:b/>
          <w:bCs/>
        </w:rPr>
      </w:pPr>
    </w:p>
    <w:p w14:paraId="2CB511C9" w14:textId="3E2428C8" w:rsidR="00226EB9" w:rsidRDefault="00226EB9" w:rsidP="00226EB9">
      <w:pPr>
        <w:spacing w:line="276" w:lineRule="auto"/>
        <w:jc w:val="both"/>
        <w:rPr>
          <w:rFonts w:ascii="Bangla MN" w:hAnsi="Bangla MN" w:cs="Bangla MN"/>
          <w:b/>
          <w:bCs/>
          <w:sz w:val="28"/>
          <w:szCs w:val="28"/>
        </w:rPr>
      </w:pPr>
    </w:p>
    <w:p w14:paraId="3001BCE5" w14:textId="77777777" w:rsidR="00226EB9" w:rsidRDefault="00226EB9" w:rsidP="00226EB9">
      <w:pPr>
        <w:spacing w:line="276" w:lineRule="auto"/>
        <w:jc w:val="both"/>
        <w:rPr>
          <w:rFonts w:ascii="Bangla MN" w:hAnsi="Bangla MN" w:cs="Bangla MN"/>
          <w:b/>
          <w:bCs/>
          <w:sz w:val="28"/>
          <w:szCs w:val="28"/>
        </w:rPr>
        <w:sectPr w:rsidR="00226EB9" w:rsidSect="00E62735">
          <w:type w:val="continuous"/>
          <w:pgSz w:w="12240" w:h="15840"/>
          <w:pgMar w:top="1440" w:right="1440" w:bottom="1440" w:left="1440" w:header="720" w:footer="720" w:gutter="0"/>
          <w:cols w:space="720"/>
          <w:docGrid w:linePitch="360"/>
        </w:sectPr>
      </w:pPr>
    </w:p>
    <w:p w14:paraId="6C3119CA" w14:textId="77777777" w:rsidR="00441126" w:rsidRDefault="00441126">
      <w:pPr>
        <w:rPr>
          <w:rFonts w:ascii="Bangla MN" w:hAnsi="Bangla MN" w:cs="Bangla MN"/>
          <w:b/>
          <w:bCs/>
          <w:sz w:val="28"/>
          <w:szCs w:val="28"/>
        </w:rPr>
      </w:pPr>
      <w:r>
        <w:rPr>
          <w:rFonts w:ascii="Bangla MN" w:hAnsi="Bangla MN" w:cs="Bangla MN"/>
          <w:b/>
          <w:bCs/>
          <w:sz w:val="28"/>
          <w:szCs w:val="28"/>
        </w:rPr>
        <w:br w:type="page"/>
      </w:r>
    </w:p>
    <w:p w14:paraId="0C3D5DCC" w14:textId="3EC023FB" w:rsidR="00226EB9" w:rsidRPr="00591983" w:rsidRDefault="00226EB9" w:rsidP="0037247A">
      <w:pPr>
        <w:spacing w:line="276" w:lineRule="auto"/>
        <w:ind w:firstLine="0"/>
        <w:jc w:val="both"/>
        <w:rPr>
          <w:rFonts w:ascii="Bangla MN" w:hAnsi="Bangla MN" w:cs="Bangla MN"/>
          <w:b/>
          <w:bCs/>
          <w:sz w:val="28"/>
          <w:szCs w:val="28"/>
        </w:rPr>
      </w:pPr>
      <w:r>
        <w:rPr>
          <w:rFonts w:ascii="Bangla MN" w:hAnsi="Bangla MN" w:cs="Bangla MN"/>
          <w:b/>
          <w:bCs/>
          <w:sz w:val="28"/>
          <w:szCs w:val="28"/>
        </w:rPr>
        <w:lastRenderedPageBreak/>
        <w:t>References</w:t>
      </w:r>
    </w:p>
    <w:p w14:paraId="4DB85FBA" w14:textId="77777777" w:rsidR="00226EB9" w:rsidRDefault="00226EB9" w:rsidP="00591983">
      <w:pPr>
        <w:spacing w:line="276" w:lineRule="auto"/>
        <w:jc w:val="both"/>
        <w:rPr>
          <w:rFonts w:ascii="Avenir Book" w:hAnsi="Avenir Book"/>
        </w:rPr>
        <w:sectPr w:rsidR="00226EB9" w:rsidSect="00E62735">
          <w:type w:val="continuous"/>
          <w:pgSz w:w="12240" w:h="15840"/>
          <w:pgMar w:top="1440" w:right="1440" w:bottom="1440" w:left="1440" w:header="720" w:footer="720" w:gutter="0"/>
          <w:cols w:space="720"/>
          <w:docGrid w:linePitch="360"/>
        </w:sectPr>
      </w:pPr>
    </w:p>
    <w:p w14:paraId="38AF7533" w14:textId="7FDC357F" w:rsidR="00384827" w:rsidRDefault="00384827" w:rsidP="0090156D">
      <w:pPr>
        <w:autoSpaceDE w:val="0"/>
        <w:autoSpaceDN w:val="0"/>
        <w:adjustRightInd w:val="0"/>
        <w:spacing w:line="276" w:lineRule="auto"/>
        <w:ind w:firstLine="0"/>
        <w:jc w:val="both"/>
        <w:rPr>
          <w:rStyle w:val="Hyperlink"/>
          <w:rFonts w:ascii="Avenir Book" w:hAnsi="Avenir Book" w:cs="Times New Roman"/>
        </w:rPr>
      </w:pPr>
      <w:proofErr w:type="spellStart"/>
      <w:r w:rsidRPr="00C7391E">
        <w:rPr>
          <w:rFonts w:ascii="Avenir Book" w:hAnsi="Avenir Book" w:cs="Times New Roman"/>
        </w:rPr>
        <w:t>Appeldoorn</w:t>
      </w:r>
      <w:proofErr w:type="spellEnd"/>
      <w:r w:rsidRPr="00C7391E">
        <w:rPr>
          <w:rFonts w:ascii="Avenir Book" w:hAnsi="Avenir Book" w:cs="Times New Roman"/>
        </w:rPr>
        <w:t xml:space="preserve">, R. S. 1988. Age determination, growth, mortality and age of first reproduction in adult queen conch, </w:t>
      </w:r>
      <w:proofErr w:type="spellStart"/>
      <w:r w:rsidRPr="00C7391E">
        <w:rPr>
          <w:rFonts w:ascii="Avenir Book" w:hAnsi="Avenir Book" w:cs="Times New Roman"/>
          <w:i/>
          <w:iCs/>
        </w:rPr>
        <w:t>Strombus</w:t>
      </w:r>
      <w:proofErr w:type="spellEnd"/>
      <w:r w:rsidRPr="00C7391E">
        <w:rPr>
          <w:rFonts w:ascii="Avenir Book" w:hAnsi="Avenir Book" w:cs="Times New Roman"/>
          <w:i/>
          <w:iCs/>
        </w:rPr>
        <w:t xml:space="preserve"> gigas L</w:t>
      </w:r>
      <w:r w:rsidRPr="00C7391E">
        <w:rPr>
          <w:rFonts w:ascii="Avenir Book" w:hAnsi="Avenir Book" w:cs="Times New Roman"/>
        </w:rPr>
        <w:t>., off Puerto Rico. Fisheries Research, 6, 363–378. https://doi.org/10.1016/0165</w:t>
      </w:r>
      <w:r w:rsidRPr="00C7391E">
        <w:rPr>
          <w:rFonts w:ascii="Cambria Math" w:hAnsi="Cambria Math" w:cs="Cambria Math"/>
        </w:rPr>
        <w:t>‐</w:t>
      </w:r>
      <w:r w:rsidRPr="00C7391E">
        <w:rPr>
          <w:rFonts w:ascii="Avenir Book" w:hAnsi="Avenir Book" w:cs="Times New Roman"/>
        </w:rPr>
        <w:t>7836(88)90005</w:t>
      </w:r>
      <w:r w:rsidRPr="00C7391E">
        <w:rPr>
          <w:rFonts w:ascii="Cambria Math" w:hAnsi="Cambria Math" w:cs="Cambria Math"/>
        </w:rPr>
        <w:t>‐</w:t>
      </w:r>
      <w:r w:rsidRPr="00C7391E">
        <w:rPr>
          <w:rFonts w:ascii="Avenir Book" w:hAnsi="Avenir Book" w:cs="Times New Roman"/>
        </w:rPr>
        <w:t>7</w:t>
      </w:r>
      <w:r w:rsidR="00C7391E">
        <w:rPr>
          <w:rStyle w:val="Hyperlink"/>
          <w:rFonts w:ascii="Avenir Book" w:hAnsi="Avenir Book" w:cs="Times New Roman"/>
        </w:rPr>
        <w:t>.</w:t>
      </w:r>
    </w:p>
    <w:p w14:paraId="138CA6F6" w14:textId="77777777" w:rsidR="00C7391E" w:rsidRPr="00C7391E" w:rsidRDefault="00C7391E" w:rsidP="0090156D">
      <w:pPr>
        <w:autoSpaceDE w:val="0"/>
        <w:autoSpaceDN w:val="0"/>
        <w:adjustRightInd w:val="0"/>
        <w:spacing w:line="276" w:lineRule="auto"/>
        <w:jc w:val="both"/>
        <w:rPr>
          <w:rFonts w:ascii="Avenir Book" w:hAnsi="Avenir Book" w:cs="Times New Roman"/>
        </w:rPr>
      </w:pPr>
    </w:p>
    <w:p w14:paraId="010BB073" w14:textId="77777777" w:rsidR="00C7391E" w:rsidRDefault="00384827" w:rsidP="0090156D">
      <w:pPr>
        <w:autoSpaceDE w:val="0"/>
        <w:autoSpaceDN w:val="0"/>
        <w:adjustRightInd w:val="0"/>
        <w:spacing w:line="276" w:lineRule="auto"/>
        <w:ind w:firstLine="0"/>
        <w:jc w:val="both"/>
        <w:rPr>
          <w:rFonts w:ascii="Avenir Book" w:hAnsi="Avenir Book" w:cs="Times New Roman"/>
        </w:rPr>
      </w:pPr>
      <w:r w:rsidRPr="00C7391E">
        <w:rPr>
          <w:rFonts w:ascii="Avenir Book" w:hAnsi="Avenir Book" w:cs="Times New Roman"/>
        </w:rPr>
        <w:t xml:space="preserve">Buckland, B. J. 1989. Reproduction and growth of the queen conch, </w:t>
      </w:r>
      <w:proofErr w:type="spellStart"/>
      <w:r w:rsidRPr="00C7391E">
        <w:rPr>
          <w:rFonts w:ascii="Avenir Book" w:hAnsi="Avenir Book" w:cs="Times New Roman"/>
          <w:i/>
          <w:iCs/>
        </w:rPr>
        <w:t>Strombus</w:t>
      </w:r>
      <w:proofErr w:type="spellEnd"/>
      <w:r w:rsidRPr="00C7391E">
        <w:rPr>
          <w:rFonts w:ascii="Avenir Book" w:hAnsi="Avenir Book" w:cs="Times New Roman"/>
          <w:i/>
          <w:iCs/>
        </w:rPr>
        <w:t xml:space="preserve"> gigas</w:t>
      </w:r>
      <w:r w:rsidRPr="00C7391E">
        <w:rPr>
          <w:rFonts w:ascii="Avenir Book" w:hAnsi="Avenir Book" w:cs="Times New Roman"/>
        </w:rPr>
        <w:t>, off St. Christopher and Nevis in the Eastern Caribbean. MSc thesis, University of Guelph, Guelph, Ontario.</w:t>
      </w:r>
    </w:p>
    <w:p w14:paraId="2AD8236A" w14:textId="77777777" w:rsidR="00C7391E" w:rsidRDefault="00C7391E" w:rsidP="0090156D">
      <w:pPr>
        <w:autoSpaceDE w:val="0"/>
        <w:autoSpaceDN w:val="0"/>
        <w:adjustRightInd w:val="0"/>
        <w:spacing w:line="276" w:lineRule="auto"/>
        <w:ind w:firstLine="0"/>
        <w:jc w:val="both"/>
        <w:rPr>
          <w:rFonts w:ascii="Avenir Book" w:hAnsi="Avenir Book" w:cs="Times New Roman"/>
        </w:rPr>
      </w:pPr>
    </w:p>
    <w:p w14:paraId="7F0FC277" w14:textId="1AB1A5E1" w:rsidR="00C7391E" w:rsidRDefault="00384827" w:rsidP="0090156D">
      <w:pPr>
        <w:autoSpaceDE w:val="0"/>
        <w:autoSpaceDN w:val="0"/>
        <w:adjustRightInd w:val="0"/>
        <w:spacing w:line="276" w:lineRule="auto"/>
        <w:ind w:firstLine="0"/>
        <w:jc w:val="both"/>
        <w:rPr>
          <w:rFonts w:ascii="Avenir Book" w:hAnsi="Avenir Book"/>
        </w:rPr>
      </w:pPr>
      <w:r w:rsidRPr="00C7391E">
        <w:rPr>
          <w:rFonts w:ascii="Avenir Book" w:hAnsi="Avenir Book"/>
        </w:rPr>
        <w:t>Delgado, G. A., and Glazer, B. A. 2020. Demographics influence reproductive output in queen conch (</w:t>
      </w:r>
      <w:r w:rsidRPr="00C7391E">
        <w:rPr>
          <w:rFonts w:ascii="Avenir Book" w:hAnsi="Avenir Book"/>
          <w:i/>
        </w:rPr>
        <w:t>Lobatus gigas</w:t>
      </w:r>
      <w:r w:rsidRPr="00C7391E">
        <w:rPr>
          <w:rFonts w:ascii="Avenir Book" w:hAnsi="Avenir Book"/>
        </w:rPr>
        <w:t xml:space="preserve">): implications for fishery management. Bulletin of Marine Science, 96: </w:t>
      </w:r>
      <w:r w:rsidR="00C7391E" w:rsidRPr="00C7391E">
        <w:rPr>
          <w:rFonts w:ascii="Avenir Book" w:hAnsi="Avenir Book"/>
        </w:rPr>
        <w:t>https://doi.org/10.5343/bms.2019.0098</w:t>
      </w:r>
      <w:r w:rsidRPr="00C7391E">
        <w:rPr>
          <w:rFonts w:ascii="Avenir Book" w:hAnsi="Avenir Book"/>
        </w:rPr>
        <w:t>.</w:t>
      </w:r>
    </w:p>
    <w:p w14:paraId="46619FC0" w14:textId="77777777" w:rsidR="00C7391E" w:rsidRDefault="00C7391E" w:rsidP="0090156D">
      <w:pPr>
        <w:autoSpaceDE w:val="0"/>
        <w:autoSpaceDN w:val="0"/>
        <w:adjustRightInd w:val="0"/>
        <w:spacing w:line="276" w:lineRule="auto"/>
        <w:ind w:firstLine="0"/>
        <w:jc w:val="both"/>
        <w:rPr>
          <w:rFonts w:ascii="Avenir Book" w:hAnsi="Avenir Book"/>
        </w:rPr>
      </w:pPr>
    </w:p>
    <w:p w14:paraId="50EF13AD" w14:textId="3083ABC6" w:rsidR="00384827" w:rsidRPr="00C7391E" w:rsidRDefault="00384827" w:rsidP="0090156D">
      <w:pPr>
        <w:autoSpaceDE w:val="0"/>
        <w:autoSpaceDN w:val="0"/>
        <w:adjustRightInd w:val="0"/>
        <w:spacing w:line="276" w:lineRule="auto"/>
        <w:ind w:firstLine="0"/>
        <w:jc w:val="both"/>
        <w:rPr>
          <w:rFonts w:ascii="Avenir Book" w:hAnsi="Avenir Book" w:cs="Times New Roman"/>
        </w:rPr>
      </w:pPr>
      <w:r w:rsidRPr="00C7391E">
        <w:rPr>
          <w:rFonts w:ascii="Avenir Book" w:hAnsi="Avenir Book"/>
        </w:rPr>
        <w:t>Foley, J. R., and Takahashi, M. 2017. Shell lip thickness is the most reliable proxy to sexual maturity in queen conch (</w:t>
      </w:r>
      <w:r w:rsidRPr="00C7391E">
        <w:rPr>
          <w:rFonts w:ascii="Avenir Book" w:hAnsi="Avenir Book"/>
          <w:i/>
        </w:rPr>
        <w:t>Lobatus gigas</w:t>
      </w:r>
      <w:r w:rsidRPr="00C7391E">
        <w:rPr>
          <w:rFonts w:ascii="Avenir Book" w:hAnsi="Avenir Book"/>
        </w:rPr>
        <w:t>) of Port Honduras marine reserve, Belize; informing management to reduce the risk of growth overfishing. Frontiers in Marine Science, 4: 179.</w:t>
      </w:r>
    </w:p>
    <w:p w14:paraId="66CD31D3" w14:textId="77777777" w:rsidR="0037247A" w:rsidRPr="00C7391E" w:rsidRDefault="0037247A" w:rsidP="0090156D">
      <w:pPr>
        <w:widowControl w:val="0"/>
        <w:autoSpaceDE w:val="0"/>
        <w:autoSpaceDN w:val="0"/>
        <w:adjustRightInd w:val="0"/>
        <w:spacing w:line="276" w:lineRule="auto"/>
        <w:ind w:left="480" w:hanging="480"/>
        <w:jc w:val="both"/>
        <w:rPr>
          <w:rFonts w:ascii="Avenir Book" w:hAnsi="Avenir Book" w:cs="Times New Roman"/>
          <w:noProof/>
        </w:rPr>
      </w:pPr>
    </w:p>
    <w:p w14:paraId="4AE4A8A7" w14:textId="418A4009" w:rsidR="00C7391E" w:rsidRDefault="00DA38D6" w:rsidP="0090156D">
      <w:pPr>
        <w:widowControl w:val="0"/>
        <w:autoSpaceDE w:val="0"/>
        <w:autoSpaceDN w:val="0"/>
        <w:adjustRightInd w:val="0"/>
        <w:spacing w:line="276" w:lineRule="auto"/>
        <w:ind w:left="480" w:hanging="480"/>
        <w:jc w:val="both"/>
        <w:rPr>
          <w:rFonts w:ascii="Avenir Book" w:hAnsi="Avenir Book" w:cs="Times New Roman"/>
          <w:noProof/>
        </w:rPr>
      </w:pPr>
      <w:r w:rsidRPr="00C7391E">
        <w:rPr>
          <w:rFonts w:ascii="Avenir Book" w:hAnsi="Avenir Book" w:cs="Times New Roman"/>
          <w:noProof/>
        </w:rPr>
        <w:t>Gell, F. R., &amp; Roberts, C. M. 2003. Benefits beyond boundaries: The fishery effects of marine</w:t>
      </w:r>
    </w:p>
    <w:p w14:paraId="2E77E817" w14:textId="74A645AA" w:rsidR="00C7391E" w:rsidRDefault="00DA38D6" w:rsidP="0090156D">
      <w:pPr>
        <w:widowControl w:val="0"/>
        <w:autoSpaceDE w:val="0"/>
        <w:autoSpaceDN w:val="0"/>
        <w:adjustRightInd w:val="0"/>
        <w:spacing w:line="276" w:lineRule="auto"/>
        <w:ind w:firstLine="0"/>
        <w:jc w:val="both"/>
        <w:rPr>
          <w:rFonts w:ascii="Avenir Book" w:hAnsi="Avenir Book" w:cs="Times New Roman"/>
          <w:noProof/>
        </w:rPr>
      </w:pPr>
      <w:r w:rsidRPr="00C7391E">
        <w:rPr>
          <w:rFonts w:ascii="Avenir Book" w:hAnsi="Avenir Book" w:cs="Times New Roman"/>
          <w:noProof/>
        </w:rPr>
        <w:t xml:space="preserve">reserves. </w:t>
      </w:r>
      <w:r w:rsidRPr="00C7391E">
        <w:rPr>
          <w:rFonts w:ascii="Avenir Book" w:hAnsi="Avenir Book" w:cs="Times New Roman"/>
          <w:i/>
          <w:iCs/>
          <w:noProof/>
        </w:rPr>
        <w:t>Trends in Ecology and Evolution</w:t>
      </w:r>
      <w:r w:rsidRPr="00C7391E">
        <w:rPr>
          <w:rFonts w:ascii="Avenir Book" w:hAnsi="Avenir Book" w:cs="Times New Roman"/>
          <w:noProof/>
        </w:rPr>
        <w:t xml:space="preserve">, </w:t>
      </w:r>
      <w:r w:rsidRPr="00C7391E">
        <w:rPr>
          <w:rFonts w:ascii="Avenir Book" w:hAnsi="Avenir Book" w:cs="Times New Roman"/>
          <w:i/>
          <w:iCs/>
          <w:noProof/>
        </w:rPr>
        <w:t>18</w:t>
      </w:r>
      <w:r w:rsidRPr="00C7391E">
        <w:rPr>
          <w:rFonts w:ascii="Avenir Book" w:hAnsi="Avenir Book" w:cs="Times New Roman"/>
          <w:noProof/>
        </w:rPr>
        <w:t>(9)</w:t>
      </w:r>
      <w:r w:rsidR="0090156D">
        <w:rPr>
          <w:rFonts w:ascii="Avenir Book" w:hAnsi="Avenir Book" w:cs="Times New Roman"/>
          <w:noProof/>
        </w:rPr>
        <w:t xml:space="preserve">: </w:t>
      </w:r>
      <w:r w:rsidRPr="00C7391E">
        <w:rPr>
          <w:rFonts w:ascii="Avenir Book" w:hAnsi="Avenir Book" w:cs="Times New Roman"/>
          <w:noProof/>
        </w:rPr>
        <w:t>448–455</w:t>
      </w:r>
      <w:r w:rsidR="00C7391E">
        <w:rPr>
          <w:rFonts w:ascii="Avenir Book" w:hAnsi="Avenir Book" w:cs="Times New Roman"/>
          <w:noProof/>
        </w:rPr>
        <w:t xml:space="preserve">. </w:t>
      </w:r>
      <w:r w:rsidR="00C7391E" w:rsidRPr="00C7391E">
        <w:rPr>
          <w:rFonts w:ascii="Avenir Book" w:hAnsi="Avenir Book" w:cs="Times New Roman"/>
          <w:noProof/>
        </w:rPr>
        <w:t>https://doi.org/10.1016/S01695347(03)00189-7</w:t>
      </w:r>
      <w:r w:rsidR="00C7391E">
        <w:rPr>
          <w:rFonts w:ascii="Avenir Book" w:hAnsi="Avenir Book" w:cs="Times New Roman"/>
          <w:noProof/>
        </w:rPr>
        <w:t>.</w:t>
      </w:r>
    </w:p>
    <w:p w14:paraId="71FABEC5" w14:textId="77777777" w:rsidR="00C7391E" w:rsidRDefault="00C7391E" w:rsidP="0090156D">
      <w:pPr>
        <w:widowControl w:val="0"/>
        <w:autoSpaceDE w:val="0"/>
        <w:autoSpaceDN w:val="0"/>
        <w:adjustRightInd w:val="0"/>
        <w:spacing w:line="276" w:lineRule="auto"/>
        <w:ind w:left="480" w:hanging="480"/>
        <w:jc w:val="both"/>
        <w:rPr>
          <w:rFonts w:ascii="Avenir Book" w:hAnsi="Avenir Book" w:cs="Times New Roman"/>
          <w:noProof/>
        </w:rPr>
      </w:pPr>
    </w:p>
    <w:p w14:paraId="598EF895" w14:textId="48A0363B" w:rsidR="00DA38D6" w:rsidRPr="00C7391E" w:rsidRDefault="00DA38D6" w:rsidP="0090156D">
      <w:pPr>
        <w:widowControl w:val="0"/>
        <w:autoSpaceDE w:val="0"/>
        <w:autoSpaceDN w:val="0"/>
        <w:adjustRightInd w:val="0"/>
        <w:spacing w:line="276" w:lineRule="auto"/>
        <w:ind w:firstLine="0"/>
        <w:jc w:val="both"/>
        <w:rPr>
          <w:rFonts w:ascii="Avenir Book" w:hAnsi="Avenir Book" w:cs="Times New Roman"/>
          <w:noProof/>
        </w:rPr>
      </w:pPr>
      <w:r w:rsidRPr="00C7391E">
        <w:rPr>
          <w:rFonts w:ascii="Avenir Book" w:hAnsi="Avenir Book" w:cs="Times New Roman"/>
          <w:noProof/>
        </w:rPr>
        <w:t>Halpern, B. S. 2003. The impact of marine reserves: do reserves work and does reserve size</w:t>
      </w:r>
      <w:r w:rsidR="00C7391E">
        <w:rPr>
          <w:rFonts w:ascii="Avenir Book" w:hAnsi="Avenir Book" w:cs="Times New Roman"/>
          <w:noProof/>
        </w:rPr>
        <w:t xml:space="preserve"> </w:t>
      </w:r>
      <w:r w:rsidRPr="00C7391E">
        <w:rPr>
          <w:rFonts w:ascii="Avenir Book" w:hAnsi="Avenir Book" w:cs="Times New Roman"/>
          <w:noProof/>
        </w:rPr>
        <w:t xml:space="preserve">matter? </w:t>
      </w:r>
      <w:r w:rsidRPr="00C7391E">
        <w:rPr>
          <w:rFonts w:ascii="Avenir Book" w:hAnsi="Avenir Book" w:cs="Times New Roman"/>
          <w:i/>
          <w:iCs/>
          <w:noProof/>
        </w:rPr>
        <w:t>Ecological Applications</w:t>
      </w:r>
      <w:r w:rsidRPr="00C7391E">
        <w:rPr>
          <w:rFonts w:ascii="Avenir Book" w:hAnsi="Avenir Book" w:cs="Times New Roman"/>
          <w:noProof/>
        </w:rPr>
        <w:t xml:space="preserve">, </w:t>
      </w:r>
      <w:r w:rsidRPr="00C7391E">
        <w:rPr>
          <w:rFonts w:ascii="Avenir Book" w:hAnsi="Avenir Book" w:cs="Times New Roman"/>
          <w:i/>
          <w:iCs/>
          <w:noProof/>
        </w:rPr>
        <w:t>13</w:t>
      </w:r>
      <w:r w:rsidR="0090156D">
        <w:rPr>
          <w:rFonts w:ascii="Avenir Book" w:hAnsi="Avenir Book" w:cs="Times New Roman"/>
          <w:i/>
          <w:iCs/>
          <w:noProof/>
        </w:rPr>
        <w:t xml:space="preserve"> </w:t>
      </w:r>
      <w:r w:rsidRPr="00C7391E">
        <w:rPr>
          <w:rFonts w:ascii="Avenir Book" w:hAnsi="Avenir Book" w:cs="Times New Roman"/>
          <w:noProof/>
        </w:rPr>
        <w:t>(sp1), 117–137.</w:t>
      </w:r>
    </w:p>
    <w:p w14:paraId="76631C96" w14:textId="47850595" w:rsidR="00591983" w:rsidRPr="00C7391E" w:rsidRDefault="00591983" w:rsidP="0090156D">
      <w:pPr>
        <w:spacing w:line="276" w:lineRule="auto"/>
        <w:ind w:firstLine="0"/>
        <w:jc w:val="both"/>
        <w:rPr>
          <w:rFonts w:ascii="Avenir Book" w:hAnsi="Avenir Book" w:cs="Bangla MN"/>
        </w:rPr>
      </w:pPr>
    </w:p>
    <w:p w14:paraId="114EF787" w14:textId="4099911B" w:rsidR="00C7391E" w:rsidRDefault="00DA38D6" w:rsidP="0090156D">
      <w:pPr>
        <w:widowControl w:val="0"/>
        <w:autoSpaceDE w:val="0"/>
        <w:autoSpaceDN w:val="0"/>
        <w:adjustRightInd w:val="0"/>
        <w:spacing w:line="276" w:lineRule="auto"/>
        <w:ind w:firstLine="0"/>
        <w:jc w:val="both"/>
        <w:rPr>
          <w:rFonts w:ascii="Avenir Book" w:hAnsi="Avenir Book" w:cs="Times New Roman"/>
          <w:noProof/>
        </w:rPr>
      </w:pPr>
      <w:r w:rsidRPr="00C7391E">
        <w:rPr>
          <w:rFonts w:ascii="Avenir Book" w:hAnsi="Avenir Book" w:cs="Times New Roman"/>
          <w:noProof/>
        </w:rPr>
        <w:t xml:space="preserve">Huntington, B. E., Karnauskas, M., &amp; Lirman, D. 2011. Corals fail to recover at a Caribbean marine reserve despite ten years of reserve designation. </w:t>
      </w:r>
      <w:r w:rsidRPr="00C7391E">
        <w:rPr>
          <w:rFonts w:ascii="Avenir Book" w:hAnsi="Avenir Book" w:cs="Times New Roman"/>
          <w:i/>
          <w:iCs/>
          <w:noProof/>
        </w:rPr>
        <w:t>Coral Reefs</w:t>
      </w:r>
      <w:r w:rsidRPr="00C7391E">
        <w:rPr>
          <w:rFonts w:ascii="Avenir Book" w:hAnsi="Avenir Book" w:cs="Times New Roman"/>
          <w:noProof/>
        </w:rPr>
        <w:t xml:space="preserve">, </w:t>
      </w:r>
      <w:r w:rsidRPr="00C7391E">
        <w:rPr>
          <w:rFonts w:ascii="Avenir Book" w:hAnsi="Avenir Book" w:cs="Times New Roman"/>
          <w:i/>
          <w:iCs/>
          <w:noProof/>
        </w:rPr>
        <w:t>30</w:t>
      </w:r>
      <w:r w:rsidRPr="00C7391E">
        <w:rPr>
          <w:rFonts w:ascii="Avenir Book" w:hAnsi="Avenir Book" w:cs="Times New Roman"/>
          <w:noProof/>
        </w:rPr>
        <w:t xml:space="preserve">(4), 1077–1085. </w:t>
      </w:r>
      <w:r w:rsidR="00C7391E" w:rsidRPr="00C7391E">
        <w:rPr>
          <w:rFonts w:ascii="Avenir Book" w:hAnsi="Avenir Book" w:cs="Times New Roman"/>
          <w:noProof/>
        </w:rPr>
        <w:t>https://doi.org/10.1007/s00338-011-0809-4</w:t>
      </w:r>
      <w:r w:rsidR="00C7391E">
        <w:rPr>
          <w:rFonts w:ascii="Avenir Book" w:hAnsi="Avenir Book" w:cs="Times New Roman"/>
          <w:noProof/>
        </w:rPr>
        <w:t>.</w:t>
      </w:r>
    </w:p>
    <w:p w14:paraId="27EA9AF0" w14:textId="77777777" w:rsidR="00C7391E" w:rsidRDefault="00C7391E" w:rsidP="0090156D">
      <w:pPr>
        <w:widowControl w:val="0"/>
        <w:autoSpaceDE w:val="0"/>
        <w:autoSpaceDN w:val="0"/>
        <w:adjustRightInd w:val="0"/>
        <w:spacing w:line="276" w:lineRule="auto"/>
        <w:ind w:firstLine="0"/>
        <w:jc w:val="both"/>
        <w:rPr>
          <w:rFonts w:ascii="Avenir Book" w:hAnsi="Avenir Book" w:cs="Times New Roman"/>
          <w:noProof/>
        </w:rPr>
      </w:pPr>
    </w:p>
    <w:p w14:paraId="050CB017" w14:textId="37F4082E" w:rsidR="00384827" w:rsidRPr="00C7391E" w:rsidRDefault="00384827" w:rsidP="0090156D">
      <w:pPr>
        <w:widowControl w:val="0"/>
        <w:autoSpaceDE w:val="0"/>
        <w:autoSpaceDN w:val="0"/>
        <w:adjustRightInd w:val="0"/>
        <w:spacing w:line="276" w:lineRule="auto"/>
        <w:ind w:firstLine="0"/>
        <w:jc w:val="both"/>
        <w:rPr>
          <w:rFonts w:ascii="Avenir Book" w:hAnsi="Avenir Book" w:cs="Times New Roman"/>
          <w:noProof/>
        </w:rPr>
      </w:pPr>
      <w:r w:rsidRPr="00C7391E">
        <w:rPr>
          <w:rFonts w:ascii="Avenir Book" w:hAnsi="Avenir Book"/>
        </w:rPr>
        <w:t>McDonald, G., et al. 2017. An indicator-based adaptive management framework and its development for data-limited fisheries in Belize. Marine Policy, 76: 28 - 37.</w:t>
      </w:r>
    </w:p>
    <w:p w14:paraId="7F1CDDAF" w14:textId="77777777" w:rsidR="00384827" w:rsidRPr="00C7391E" w:rsidRDefault="00384827" w:rsidP="0090156D">
      <w:pPr>
        <w:widowControl w:val="0"/>
        <w:autoSpaceDE w:val="0"/>
        <w:autoSpaceDN w:val="0"/>
        <w:adjustRightInd w:val="0"/>
        <w:spacing w:line="276" w:lineRule="auto"/>
        <w:ind w:left="480" w:hanging="480"/>
        <w:jc w:val="both"/>
        <w:rPr>
          <w:rFonts w:ascii="Avenir Book" w:hAnsi="Avenir Book" w:cs="Times New Roman"/>
          <w:noProof/>
        </w:rPr>
      </w:pPr>
    </w:p>
    <w:p w14:paraId="5602424C" w14:textId="6A359A0A" w:rsidR="00DA38D6" w:rsidRDefault="00DA38D6" w:rsidP="0090156D">
      <w:pPr>
        <w:pStyle w:val="Default"/>
        <w:spacing w:line="276" w:lineRule="auto"/>
        <w:ind w:firstLine="0"/>
        <w:jc w:val="both"/>
        <w:rPr>
          <w:rFonts w:ascii="Avenir Book" w:hAnsi="Avenir Book" w:cs="Times New Roman"/>
          <w:noProof/>
        </w:rPr>
      </w:pPr>
      <w:r w:rsidRPr="00C7391E">
        <w:rPr>
          <w:rFonts w:ascii="Avenir Book" w:hAnsi="Avenir Book" w:cs="Times New Roman"/>
          <w:noProof/>
        </w:rPr>
        <w:t xml:space="preserve">Roberts, Callum M, Bohnsack, J. A., &amp; Gell, Fiona, Hawkins, Julia P, Goodridge, R. 2001. </w:t>
      </w:r>
      <w:r w:rsidRPr="00C7391E">
        <w:rPr>
          <w:rFonts w:ascii="Avenir Book" w:hAnsi="Avenir Book" w:cs="Times New Roman"/>
          <w:i/>
          <w:iCs/>
          <w:noProof/>
        </w:rPr>
        <w:t>Effects of Marine Reserves on Adjacent Fisheries</w:t>
      </w:r>
      <w:r w:rsidRPr="00C7391E">
        <w:rPr>
          <w:rFonts w:ascii="Avenir Book" w:hAnsi="Avenir Book" w:cs="Times New Roman"/>
          <w:noProof/>
        </w:rPr>
        <w:t xml:space="preserve">. </w:t>
      </w:r>
      <w:r w:rsidRPr="00C7391E">
        <w:rPr>
          <w:rFonts w:ascii="Avenir Book" w:hAnsi="Avenir Book" w:cs="Times New Roman"/>
          <w:i/>
          <w:iCs/>
          <w:noProof/>
        </w:rPr>
        <w:t>294</w:t>
      </w:r>
      <w:r w:rsidR="0090156D">
        <w:rPr>
          <w:rFonts w:ascii="Avenir Book" w:hAnsi="Avenir Book" w:cs="Times New Roman"/>
          <w:i/>
          <w:iCs/>
          <w:noProof/>
        </w:rPr>
        <w:t xml:space="preserve"> </w:t>
      </w:r>
      <w:r w:rsidRPr="00C7391E">
        <w:rPr>
          <w:rFonts w:ascii="Avenir Book" w:hAnsi="Avenir Book" w:cs="Times New Roman"/>
          <w:noProof/>
        </w:rPr>
        <w:t>(November), 1920–1924</w:t>
      </w:r>
      <w:r w:rsidR="00C7391E">
        <w:rPr>
          <w:rFonts w:ascii="Avenir Book" w:hAnsi="Avenir Book" w:cs="Times New Roman"/>
          <w:noProof/>
        </w:rPr>
        <w:t>.</w:t>
      </w:r>
    </w:p>
    <w:p w14:paraId="2DA208F2" w14:textId="77777777" w:rsidR="00C7391E" w:rsidRPr="00C7391E" w:rsidRDefault="00C7391E" w:rsidP="0090156D">
      <w:pPr>
        <w:pStyle w:val="Default"/>
        <w:spacing w:line="276" w:lineRule="auto"/>
        <w:ind w:firstLine="0"/>
        <w:jc w:val="both"/>
        <w:rPr>
          <w:rFonts w:ascii="Avenir Book" w:hAnsi="Avenir Book" w:cs="Times New Roman"/>
          <w:noProof/>
        </w:rPr>
      </w:pPr>
    </w:p>
    <w:p w14:paraId="0A73222E" w14:textId="77777777" w:rsidR="00C7391E" w:rsidRDefault="00384827" w:rsidP="0090156D">
      <w:pPr>
        <w:pStyle w:val="Default"/>
        <w:spacing w:line="276" w:lineRule="auto"/>
        <w:ind w:firstLine="0"/>
        <w:jc w:val="both"/>
        <w:rPr>
          <w:rFonts w:ascii="Avenir Book" w:hAnsi="Avenir Book"/>
        </w:rPr>
      </w:pPr>
      <w:r w:rsidRPr="00C7391E">
        <w:rPr>
          <w:rFonts w:ascii="Avenir Book" w:hAnsi="Avenir Book"/>
        </w:rPr>
        <w:lastRenderedPageBreak/>
        <w:t>Stoner, A. W., Davis, M. H., and Booker, C. J. 2012b. Negative consequences of Allee effect are compounded by fishing pressure: Comparison of queen conch reproduction in fishing grounds and a marine protected area. Bulletin of Marine Science, 88: 89-104.</w:t>
      </w:r>
    </w:p>
    <w:p w14:paraId="6DB79C4B" w14:textId="77777777" w:rsidR="00C7391E" w:rsidRDefault="00C7391E" w:rsidP="0090156D">
      <w:pPr>
        <w:pStyle w:val="Default"/>
        <w:spacing w:line="276" w:lineRule="auto"/>
        <w:ind w:firstLine="0"/>
        <w:jc w:val="both"/>
        <w:rPr>
          <w:rFonts w:ascii="Avenir Book" w:hAnsi="Avenir Book"/>
        </w:rPr>
      </w:pPr>
    </w:p>
    <w:p w14:paraId="237E504C" w14:textId="7DF2FBED" w:rsidR="00384827" w:rsidRPr="00C7391E" w:rsidRDefault="00384827" w:rsidP="0090156D">
      <w:pPr>
        <w:pStyle w:val="Default"/>
        <w:spacing w:line="276" w:lineRule="auto"/>
        <w:ind w:firstLine="0"/>
        <w:jc w:val="both"/>
        <w:rPr>
          <w:rFonts w:ascii="Avenir Book" w:hAnsi="Avenir Book"/>
        </w:rPr>
      </w:pPr>
      <w:r w:rsidRPr="00C7391E">
        <w:rPr>
          <w:rFonts w:ascii="Avenir Book" w:hAnsi="Avenir Book"/>
        </w:rPr>
        <w:t>Tewfik, A., Babcock, E. A., Appeldoorn, R., and Gibson, J. 2019. Declining size of adults and juvenile harvest threatens sustainability of a tropical gastropod, Lobatus gigas, fishery. Aquatic Conservation: Marine and Freshwater Ecosystems, DOI: 10.1002/aqc.3147.</w:t>
      </w:r>
    </w:p>
    <w:p w14:paraId="4DB7E94F" w14:textId="77777777" w:rsidR="00384827" w:rsidRPr="00C7391E" w:rsidRDefault="00384827" w:rsidP="0090156D">
      <w:pPr>
        <w:pStyle w:val="Default"/>
        <w:spacing w:line="276" w:lineRule="auto"/>
        <w:jc w:val="both"/>
        <w:rPr>
          <w:rFonts w:ascii="Avenir Book" w:hAnsi="Avenir Book" w:cs="Bangla MN"/>
        </w:rPr>
      </w:pPr>
    </w:p>
    <w:p w14:paraId="695DAEAB" w14:textId="05EC1A41" w:rsidR="006737DF" w:rsidRPr="00C7391E" w:rsidRDefault="006737DF" w:rsidP="0090156D">
      <w:pPr>
        <w:pStyle w:val="Default"/>
        <w:spacing w:line="276" w:lineRule="auto"/>
        <w:ind w:firstLine="0"/>
        <w:jc w:val="both"/>
        <w:rPr>
          <w:rFonts w:ascii="Avenir Book" w:hAnsi="Avenir Book" w:cs="Bangla MN"/>
        </w:rPr>
      </w:pPr>
      <w:r w:rsidRPr="00C7391E">
        <w:rPr>
          <w:rFonts w:ascii="Avenir Book" w:hAnsi="Avenir Book" w:cs="Bangla MN"/>
        </w:rPr>
        <w:t>Toledo Institute for Development and Environment. 2019. Port Honduras Marine Reserve Benthic Commercial Species Update 2019. 35 pp.</w:t>
      </w:r>
    </w:p>
    <w:p w14:paraId="4A02CBAF" w14:textId="77777777" w:rsidR="006737DF" w:rsidRPr="00C7391E" w:rsidRDefault="006737DF" w:rsidP="0090156D">
      <w:pPr>
        <w:spacing w:line="276" w:lineRule="auto"/>
        <w:jc w:val="both"/>
        <w:rPr>
          <w:rFonts w:ascii="Avenir Book" w:hAnsi="Avenir Book"/>
        </w:rPr>
      </w:pPr>
    </w:p>
    <w:p w14:paraId="6E020700" w14:textId="37F3EA59" w:rsidR="00591983" w:rsidRPr="00C7391E" w:rsidRDefault="006737DF" w:rsidP="0090156D">
      <w:pPr>
        <w:spacing w:line="276" w:lineRule="auto"/>
        <w:ind w:firstLine="0"/>
        <w:jc w:val="both"/>
        <w:rPr>
          <w:rFonts w:ascii="Avenir Book" w:hAnsi="Avenir Book"/>
        </w:rPr>
      </w:pPr>
      <w:r w:rsidRPr="00C7391E">
        <w:rPr>
          <w:rFonts w:ascii="Avenir Book" w:hAnsi="Avenir Book"/>
        </w:rPr>
        <w:t>Wildtracks. 2017. Port Honduras Marine Reserve - Management Plan 2017-2021. 236 pp.</w:t>
      </w:r>
    </w:p>
    <w:sectPr w:rsidR="00591983" w:rsidRPr="00C7391E" w:rsidSect="00E6273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AEA23" w14:textId="77777777" w:rsidR="00081C90" w:rsidRDefault="00081C90" w:rsidP="009D7AEE">
      <w:r>
        <w:separator/>
      </w:r>
    </w:p>
  </w:endnote>
  <w:endnote w:type="continuationSeparator" w:id="0">
    <w:p w14:paraId="4DE25FB1" w14:textId="77777777" w:rsidR="00081C90" w:rsidRDefault="00081C90" w:rsidP="009D7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Bangla MN">
    <w:panose1 w:val="00000500000000000000"/>
    <w:charset w:val="00"/>
    <w:family w:val="auto"/>
    <w:pitch w:val="variable"/>
    <w:sig w:usb0="0001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932B1" w14:textId="77777777" w:rsidR="00A55C77" w:rsidRDefault="00A55C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08DC" w14:textId="77777777" w:rsidR="00A55C77" w:rsidRDefault="00A55C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B429D" w14:textId="77777777" w:rsidR="00A55C77" w:rsidRDefault="00A55C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59B45" w14:textId="77777777" w:rsidR="00081C90" w:rsidRDefault="00081C90" w:rsidP="009D7AEE">
      <w:r>
        <w:separator/>
      </w:r>
    </w:p>
  </w:footnote>
  <w:footnote w:type="continuationSeparator" w:id="0">
    <w:p w14:paraId="5CF428BF" w14:textId="77777777" w:rsidR="00081C90" w:rsidRDefault="00081C90" w:rsidP="009D7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F2C6E" w14:textId="77777777" w:rsidR="00E5445E" w:rsidRDefault="00E5445E">
    <w:pPr>
      <w:pStyle w:val="Header"/>
    </w:pPr>
  </w:p>
  <w:p w14:paraId="5F86A665" w14:textId="68330E48" w:rsidR="00987F0D" w:rsidRDefault="00987F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4039" w14:textId="77777777" w:rsidR="00396A5A" w:rsidRDefault="00396A5A">
    <w:pPr>
      <w:pStyle w:val="Header"/>
    </w:pPr>
  </w:p>
  <w:p w14:paraId="4BAA679A" w14:textId="42D45E50" w:rsidR="00987F0D" w:rsidRDefault="00987F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2043" w14:textId="3614CF6D" w:rsidR="008267F8" w:rsidRDefault="00465D54">
    <w:r>
      <w:cr/>
    </w:r>
  </w:p>
  <w:p w14:paraId="635562E6" w14:textId="4F852B21" w:rsidR="00987F0D" w:rsidRDefault="00987F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22ED50"/>
    <w:lvl w:ilvl="0">
      <w:start w:val="1"/>
      <w:numFmt w:val="decimal"/>
      <w:lvlText w:val="%1."/>
      <w:lvlJc w:val="left"/>
      <w:pPr>
        <w:tabs>
          <w:tab w:val="num" w:pos="1800"/>
        </w:tabs>
        <w:ind w:left="18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3"/>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983"/>
    <w:rsid w:val="000173D7"/>
    <w:rsid w:val="00025214"/>
    <w:rsid w:val="000375BC"/>
    <w:rsid w:val="000527EE"/>
    <w:rsid w:val="0007257D"/>
    <w:rsid w:val="00081C90"/>
    <w:rsid w:val="0009661B"/>
    <w:rsid w:val="00097B37"/>
    <w:rsid w:val="000B7739"/>
    <w:rsid w:val="000C75D1"/>
    <w:rsid w:val="000D4590"/>
    <w:rsid w:val="000E4215"/>
    <w:rsid w:val="000F0B45"/>
    <w:rsid w:val="00110787"/>
    <w:rsid w:val="00131D91"/>
    <w:rsid w:val="0013629C"/>
    <w:rsid w:val="00143F41"/>
    <w:rsid w:val="00151527"/>
    <w:rsid w:val="00151A75"/>
    <w:rsid w:val="001567F5"/>
    <w:rsid w:val="001873CE"/>
    <w:rsid w:val="00196AD2"/>
    <w:rsid w:val="001A0659"/>
    <w:rsid w:val="001B3E5D"/>
    <w:rsid w:val="001B7706"/>
    <w:rsid w:val="001E258D"/>
    <w:rsid w:val="0020318F"/>
    <w:rsid w:val="00222C55"/>
    <w:rsid w:val="00226EB9"/>
    <w:rsid w:val="00241A98"/>
    <w:rsid w:val="00247EBC"/>
    <w:rsid w:val="00250C36"/>
    <w:rsid w:val="0025558E"/>
    <w:rsid w:val="00256DEE"/>
    <w:rsid w:val="00263A96"/>
    <w:rsid w:val="00271D86"/>
    <w:rsid w:val="00277A18"/>
    <w:rsid w:val="002A4C22"/>
    <w:rsid w:val="002B7B10"/>
    <w:rsid w:val="002B7EDF"/>
    <w:rsid w:val="003040DB"/>
    <w:rsid w:val="0031054B"/>
    <w:rsid w:val="00321642"/>
    <w:rsid w:val="00325B61"/>
    <w:rsid w:val="0034024D"/>
    <w:rsid w:val="003454DE"/>
    <w:rsid w:val="00364E6E"/>
    <w:rsid w:val="00365933"/>
    <w:rsid w:val="0037247A"/>
    <w:rsid w:val="00372FCC"/>
    <w:rsid w:val="0038196F"/>
    <w:rsid w:val="00384827"/>
    <w:rsid w:val="00384EC7"/>
    <w:rsid w:val="00385F74"/>
    <w:rsid w:val="00395213"/>
    <w:rsid w:val="00396A5A"/>
    <w:rsid w:val="003B14B6"/>
    <w:rsid w:val="003B40E6"/>
    <w:rsid w:val="003E2A2C"/>
    <w:rsid w:val="003E694B"/>
    <w:rsid w:val="00402B94"/>
    <w:rsid w:val="00415F7F"/>
    <w:rsid w:val="00420299"/>
    <w:rsid w:val="00441126"/>
    <w:rsid w:val="00443DB4"/>
    <w:rsid w:val="00451EFC"/>
    <w:rsid w:val="0046169D"/>
    <w:rsid w:val="00465D54"/>
    <w:rsid w:val="00473F20"/>
    <w:rsid w:val="00481974"/>
    <w:rsid w:val="00482B48"/>
    <w:rsid w:val="004B0FFB"/>
    <w:rsid w:val="004D5F07"/>
    <w:rsid w:val="004E1E5B"/>
    <w:rsid w:val="004E4BE9"/>
    <w:rsid w:val="0053634A"/>
    <w:rsid w:val="00541342"/>
    <w:rsid w:val="00544CB2"/>
    <w:rsid w:val="00546081"/>
    <w:rsid w:val="005479DA"/>
    <w:rsid w:val="00555B5D"/>
    <w:rsid w:val="00565674"/>
    <w:rsid w:val="00586E0A"/>
    <w:rsid w:val="00591983"/>
    <w:rsid w:val="005960C7"/>
    <w:rsid w:val="005A0A8C"/>
    <w:rsid w:val="005A7750"/>
    <w:rsid w:val="005B2772"/>
    <w:rsid w:val="005C5353"/>
    <w:rsid w:val="005D3372"/>
    <w:rsid w:val="005E07EB"/>
    <w:rsid w:val="005E3BB1"/>
    <w:rsid w:val="005F1ADA"/>
    <w:rsid w:val="005F1BB6"/>
    <w:rsid w:val="005F70C2"/>
    <w:rsid w:val="0060683C"/>
    <w:rsid w:val="00610F98"/>
    <w:rsid w:val="00630FCB"/>
    <w:rsid w:val="00640040"/>
    <w:rsid w:val="00646DF8"/>
    <w:rsid w:val="00671CB3"/>
    <w:rsid w:val="006737DF"/>
    <w:rsid w:val="00680D9A"/>
    <w:rsid w:val="006848CD"/>
    <w:rsid w:val="006A093C"/>
    <w:rsid w:val="006A60CA"/>
    <w:rsid w:val="006B081E"/>
    <w:rsid w:val="006C2892"/>
    <w:rsid w:val="006C46A6"/>
    <w:rsid w:val="006D62FA"/>
    <w:rsid w:val="006E00A5"/>
    <w:rsid w:val="006E5A8F"/>
    <w:rsid w:val="006F6133"/>
    <w:rsid w:val="0071733B"/>
    <w:rsid w:val="0072231B"/>
    <w:rsid w:val="00724DCF"/>
    <w:rsid w:val="00725D6B"/>
    <w:rsid w:val="00751FE6"/>
    <w:rsid w:val="0075658C"/>
    <w:rsid w:val="00773FCB"/>
    <w:rsid w:val="007832C6"/>
    <w:rsid w:val="007C5DAB"/>
    <w:rsid w:val="007D6381"/>
    <w:rsid w:val="007D738E"/>
    <w:rsid w:val="007E1480"/>
    <w:rsid w:val="007F67D8"/>
    <w:rsid w:val="007F6D3B"/>
    <w:rsid w:val="007F7F0B"/>
    <w:rsid w:val="0080232B"/>
    <w:rsid w:val="00806B44"/>
    <w:rsid w:val="0081781B"/>
    <w:rsid w:val="008178BB"/>
    <w:rsid w:val="00822978"/>
    <w:rsid w:val="00824522"/>
    <w:rsid w:val="008267F8"/>
    <w:rsid w:val="00843CA3"/>
    <w:rsid w:val="00845FC5"/>
    <w:rsid w:val="0086390E"/>
    <w:rsid w:val="008910FC"/>
    <w:rsid w:val="008965DF"/>
    <w:rsid w:val="008A0E44"/>
    <w:rsid w:val="008A21E3"/>
    <w:rsid w:val="008C3B3C"/>
    <w:rsid w:val="0090156D"/>
    <w:rsid w:val="009059E6"/>
    <w:rsid w:val="009176A2"/>
    <w:rsid w:val="00933598"/>
    <w:rsid w:val="009354FB"/>
    <w:rsid w:val="009425C1"/>
    <w:rsid w:val="00942861"/>
    <w:rsid w:val="00947C63"/>
    <w:rsid w:val="00951997"/>
    <w:rsid w:val="009656BA"/>
    <w:rsid w:val="00972F16"/>
    <w:rsid w:val="00987F0D"/>
    <w:rsid w:val="009A32EF"/>
    <w:rsid w:val="009A6191"/>
    <w:rsid w:val="009B57AE"/>
    <w:rsid w:val="009C37B8"/>
    <w:rsid w:val="009D7AEE"/>
    <w:rsid w:val="009F01CC"/>
    <w:rsid w:val="00A14A8F"/>
    <w:rsid w:val="00A17D34"/>
    <w:rsid w:val="00A27603"/>
    <w:rsid w:val="00A364AE"/>
    <w:rsid w:val="00A51021"/>
    <w:rsid w:val="00A55C77"/>
    <w:rsid w:val="00A76B4F"/>
    <w:rsid w:val="00A916B6"/>
    <w:rsid w:val="00A970D5"/>
    <w:rsid w:val="00AA3129"/>
    <w:rsid w:val="00AA61EC"/>
    <w:rsid w:val="00AB24F2"/>
    <w:rsid w:val="00AB5978"/>
    <w:rsid w:val="00AE4F6C"/>
    <w:rsid w:val="00AE5C5B"/>
    <w:rsid w:val="00AF110D"/>
    <w:rsid w:val="00AF43C1"/>
    <w:rsid w:val="00B14404"/>
    <w:rsid w:val="00B279A1"/>
    <w:rsid w:val="00B3634D"/>
    <w:rsid w:val="00B36C6C"/>
    <w:rsid w:val="00B46C72"/>
    <w:rsid w:val="00B55AD0"/>
    <w:rsid w:val="00B80BED"/>
    <w:rsid w:val="00BA51F4"/>
    <w:rsid w:val="00BB355B"/>
    <w:rsid w:val="00BB5048"/>
    <w:rsid w:val="00BB5D04"/>
    <w:rsid w:val="00BD389E"/>
    <w:rsid w:val="00C11D52"/>
    <w:rsid w:val="00C25194"/>
    <w:rsid w:val="00C3088A"/>
    <w:rsid w:val="00C30CDA"/>
    <w:rsid w:val="00C34936"/>
    <w:rsid w:val="00C375BD"/>
    <w:rsid w:val="00C40417"/>
    <w:rsid w:val="00C410B9"/>
    <w:rsid w:val="00C60F09"/>
    <w:rsid w:val="00C67A9C"/>
    <w:rsid w:val="00C71010"/>
    <w:rsid w:val="00C7391E"/>
    <w:rsid w:val="00C821F0"/>
    <w:rsid w:val="00C90AB7"/>
    <w:rsid w:val="00C9200E"/>
    <w:rsid w:val="00C93E78"/>
    <w:rsid w:val="00C94237"/>
    <w:rsid w:val="00C94F10"/>
    <w:rsid w:val="00CA4446"/>
    <w:rsid w:val="00CB453B"/>
    <w:rsid w:val="00CB4739"/>
    <w:rsid w:val="00CC2095"/>
    <w:rsid w:val="00CC4788"/>
    <w:rsid w:val="00CD072D"/>
    <w:rsid w:val="00CD27A6"/>
    <w:rsid w:val="00CE6ACA"/>
    <w:rsid w:val="00CE7808"/>
    <w:rsid w:val="00CF16F5"/>
    <w:rsid w:val="00CF337F"/>
    <w:rsid w:val="00D041CE"/>
    <w:rsid w:val="00D07774"/>
    <w:rsid w:val="00D13D79"/>
    <w:rsid w:val="00D14C68"/>
    <w:rsid w:val="00D17B2C"/>
    <w:rsid w:val="00D26BEA"/>
    <w:rsid w:val="00D33572"/>
    <w:rsid w:val="00D50655"/>
    <w:rsid w:val="00D554BC"/>
    <w:rsid w:val="00D5713F"/>
    <w:rsid w:val="00D661FC"/>
    <w:rsid w:val="00D7015C"/>
    <w:rsid w:val="00D81B9F"/>
    <w:rsid w:val="00D8234C"/>
    <w:rsid w:val="00D8427C"/>
    <w:rsid w:val="00D95167"/>
    <w:rsid w:val="00DA38D6"/>
    <w:rsid w:val="00DC3287"/>
    <w:rsid w:val="00DD099B"/>
    <w:rsid w:val="00DF5CB8"/>
    <w:rsid w:val="00E112FB"/>
    <w:rsid w:val="00E11E37"/>
    <w:rsid w:val="00E22D11"/>
    <w:rsid w:val="00E25832"/>
    <w:rsid w:val="00E5445E"/>
    <w:rsid w:val="00E54D8F"/>
    <w:rsid w:val="00E57730"/>
    <w:rsid w:val="00E62735"/>
    <w:rsid w:val="00E63748"/>
    <w:rsid w:val="00E63A2A"/>
    <w:rsid w:val="00E828B2"/>
    <w:rsid w:val="00E8642D"/>
    <w:rsid w:val="00E90274"/>
    <w:rsid w:val="00EB1BF2"/>
    <w:rsid w:val="00EB7E2D"/>
    <w:rsid w:val="00ED204B"/>
    <w:rsid w:val="00ED6B07"/>
    <w:rsid w:val="00EE3938"/>
    <w:rsid w:val="00F00697"/>
    <w:rsid w:val="00F0582D"/>
    <w:rsid w:val="00F06928"/>
    <w:rsid w:val="00F27D18"/>
    <w:rsid w:val="00F318D6"/>
    <w:rsid w:val="00F327A0"/>
    <w:rsid w:val="00F4261F"/>
    <w:rsid w:val="00F6786D"/>
    <w:rsid w:val="00F81DE9"/>
    <w:rsid w:val="00F832B2"/>
    <w:rsid w:val="00FB0605"/>
    <w:rsid w:val="00FB5BD5"/>
    <w:rsid w:val="00FC0BAD"/>
    <w:rsid w:val="00FD127A"/>
    <w:rsid w:val="00FD319B"/>
    <w:rsid w:val="00FE35C9"/>
    <w:rsid w:val="00FF2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50848"/>
  <w15:chartTrackingRefBased/>
  <w15:docId w15:val="{2CF6451E-D2D3-E149-BB01-6FF3A0DB5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C77"/>
  </w:style>
  <w:style w:type="paragraph" w:styleId="Heading1">
    <w:name w:val="heading 1"/>
    <w:basedOn w:val="Normal"/>
    <w:next w:val="Normal"/>
    <w:link w:val="Heading1Char"/>
    <w:uiPriority w:val="9"/>
    <w:qFormat/>
    <w:rsid w:val="00A55C77"/>
    <w:pPr>
      <w:pBdr>
        <w:bottom w:val="single" w:sz="12" w:space="1" w:color="1481AB" w:themeColor="accent1" w:themeShade="BF"/>
      </w:pBdr>
      <w:spacing w:before="600" w:after="80"/>
      <w:ind w:firstLine="0"/>
      <w:outlineLvl w:val="0"/>
    </w:pPr>
    <w:rPr>
      <w:rFonts w:asciiTheme="majorHAnsi" w:eastAsiaTheme="majorEastAsia" w:hAnsiTheme="majorHAnsi" w:cstheme="majorBidi"/>
      <w:b/>
      <w:bCs/>
      <w:color w:val="1481AB" w:themeColor="accent1" w:themeShade="BF"/>
      <w:sz w:val="24"/>
      <w:szCs w:val="24"/>
    </w:rPr>
  </w:style>
  <w:style w:type="paragraph" w:styleId="Heading2">
    <w:name w:val="heading 2"/>
    <w:basedOn w:val="Normal"/>
    <w:next w:val="Normal"/>
    <w:link w:val="Heading2Char"/>
    <w:uiPriority w:val="9"/>
    <w:semiHidden/>
    <w:unhideWhenUsed/>
    <w:qFormat/>
    <w:rsid w:val="00A55C77"/>
    <w:pPr>
      <w:pBdr>
        <w:bottom w:val="single" w:sz="8" w:space="1" w:color="1CADE4" w:themeColor="accent1"/>
      </w:pBdr>
      <w:spacing w:before="200" w:after="80"/>
      <w:ind w:firstLine="0"/>
      <w:outlineLvl w:val="1"/>
    </w:pPr>
    <w:rPr>
      <w:rFonts w:asciiTheme="majorHAnsi" w:eastAsiaTheme="majorEastAsia" w:hAnsiTheme="majorHAnsi" w:cstheme="majorBidi"/>
      <w:color w:val="1481AB" w:themeColor="accent1" w:themeShade="BF"/>
      <w:sz w:val="24"/>
      <w:szCs w:val="24"/>
    </w:rPr>
  </w:style>
  <w:style w:type="paragraph" w:styleId="Heading3">
    <w:name w:val="heading 3"/>
    <w:basedOn w:val="Normal"/>
    <w:next w:val="Normal"/>
    <w:link w:val="Heading3Char"/>
    <w:uiPriority w:val="9"/>
    <w:semiHidden/>
    <w:unhideWhenUsed/>
    <w:qFormat/>
    <w:rsid w:val="00A55C77"/>
    <w:pPr>
      <w:pBdr>
        <w:bottom w:val="single" w:sz="4" w:space="1" w:color="76CDEE" w:themeColor="accent1" w:themeTint="99"/>
      </w:pBdr>
      <w:spacing w:before="200" w:after="80"/>
      <w:ind w:firstLine="0"/>
      <w:outlineLvl w:val="2"/>
    </w:pPr>
    <w:rPr>
      <w:rFonts w:asciiTheme="majorHAnsi" w:eastAsiaTheme="majorEastAsia" w:hAnsiTheme="majorHAnsi" w:cstheme="majorBidi"/>
      <w:color w:val="1CADE4" w:themeColor="accent1"/>
      <w:sz w:val="24"/>
      <w:szCs w:val="24"/>
    </w:rPr>
  </w:style>
  <w:style w:type="paragraph" w:styleId="Heading4">
    <w:name w:val="heading 4"/>
    <w:basedOn w:val="Normal"/>
    <w:next w:val="Normal"/>
    <w:link w:val="Heading4Char"/>
    <w:uiPriority w:val="9"/>
    <w:semiHidden/>
    <w:unhideWhenUsed/>
    <w:qFormat/>
    <w:rsid w:val="00A55C77"/>
    <w:pPr>
      <w:pBdr>
        <w:bottom w:val="single" w:sz="4" w:space="2" w:color="A4DDF4" w:themeColor="accent1" w:themeTint="66"/>
      </w:pBdr>
      <w:spacing w:before="200" w:after="80"/>
      <w:ind w:firstLine="0"/>
      <w:outlineLvl w:val="3"/>
    </w:pPr>
    <w:rPr>
      <w:rFonts w:asciiTheme="majorHAnsi" w:eastAsiaTheme="majorEastAsia" w:hAnsiTheme="majorHAnsi" w:cstheme="majorBidi"/>
      <w:i/>
      <w:iCs/>
      <w:color w:val="1CADE4" w:themeColor="accent1"/>
      <w:sz w:val="24"/>
      <w:szCs w:val="24"/>
    </w:rPr>
  </w:style>
  <w:style w:type="paragraph" w:styleId="Heading5">
    <w:name w:val="heading 5"/>
    <w:basedOn w:val="Normal"/>
    <w:next w:val="Normal"/>
    <w:link w:val="Heading5Char"/>
    <w:uiPriority w:val="9"/>
    <w:semiHidden/>
    <w:unhideWhenUsed/>
    <w:qFormat/>
    <w:rsid w:val="00A55C77"/>
    <w:pPr>
      <w:spacing w:before="200" w:after="80"/>
      <w:ind w:firstLine="0"/>
      <w:outlineLvl w:val="4"/>
    </w:pPr>
    <w:rPr>
      <w:rFonts w:asciiTheme="majorHAnsi" w:eastAsiaTheme="majorEastAsia" w:hAnsiTheme="majorHAnsi" w:cstheme="majorBidi"/>
      <w:color w:val="1CADE4" w:themeColor="accent1"/>
    </w:rPr>
  </w:style>
  <w:style w:type="paragraph" w:styleId="Heading6">
    <w:name w:val="heading 6"/>
    <w:basedOn w:val="Normal"/>
    <w:next w:val="Normal"/>
    <w:link w:val="Heading6Char"/>
    <w:uiPriority w:val="9"/>
    <w:semiHidden/>
    <w:unhideWhenUsed/>
    <w:qFormat/>
    <w:rsid w:val="00A55C77"/>
    <w:pPr>
      <w:spacing w:before="280" w:after="100"/>
      <w:ind w:firstLine="0"/>
      <w:outlineLvl w:val="5"/>
    </w:pPr>
    <w:rPr>
      <w:rFonts w:asciiTheme="majorHAnsi" w:eastAsiaTheme="majorEastAsia" w:hAnsiTheme="majorHAnsi" w:cstheme="majorBidi"/>
      <w:i/>
      <w:iCs/>
      <w:color w:val="1CADE4" w:themeColor="accent1"/>
    </w:rPr>
  </w:style>
  <w:style w:type="paragraph" w:styleId="Heading7">
    <w:name w:val="heading 7"/>
    <w:basedOn w:val="Normal"/>
    <w:next w:val="Normal"/>
    <w:link w:val="Heading7Char"/>
    <w:uiPriority w:val="9"/>
    <w:semiHidden/>
    <w:unhideWhenUsed/>
    <w:qFormat/>
    <w:rsid w:val="00A55C77"/>
    <w:pPr>
      <w:spacing w:before="320" w:after="100"/>
      <w:ind w:firstLine="0"/>
      <w:outlineLvl w:val="6"/>
    </w:pPr>
    <w:rPr>
      <w:rFonts w:asciiTheme="majorHAnsi" w:eastAsiaTheme="majorEastAsia" w:hAnsiTheme="majorHAnsi" w:cstheme="majorBidi"/>
      <w:b/>
      <w:bCs/>
      <w:color w:val="27CED7" w:themeColor="accent3"/>
      <w:sz w:val="20"/>
      <w:szCs w:val="20"/>
    </w:rPr>
  </w:style>
  <w:style w:type="paragraph" w:styleId="Heading8">
    <w:name w:val="heading 8"/>
    <w:basedOn w:val="Normal"/>
    <w:next w:val="Normal"/>
    <w:link w:val="Heading8Char"/>
    <w:uiPriority w:val="9"/>
    <w:semiHidden/>
    <w:unhideWhenUsed/>
    <w:qFormat/>
    <w:rsid w:val="00A55C77"/>
    <w:pPr>
      <w:spacing w:before="320" w:after="100"/>
      <w:ind w:firstLine="0"/>
      <w:outlineLvl w:val="7"/>
    </w:pPr>
    <w:rPr>
      <w:rFonts w:asciiTheme="majorHAnsi" w:eastAsiaTheme="majorEastAsia" w:hAnsiTheme="majorHAnsi" w:cstheme="majorBidi"/>
      <w:b/>
      <w:bCs/>
      <w:i/>
      <w:iCs/>
      <w:color w:val="27CED7" w:themeColor="accent3"/>
      <w:sz w:val="20"/>
      <w:szCs w:val="20"/>
    </w:rPr>
  </w:style>
  <w:style w:type="paragraph" w:styleId="Heading9">
    <w:name w:val="heading 9"/>
    <w:basedOn w:val="Normal"/>
    <w:next w:val="Normal"/>
    <w:link w:val="Heading9Char"/>
    <w:uiPriority w:val="9"/>
    <w:semiHidden/>
    <w:unhideWhenUsed/>
    <w:qFormat/>
    <w:rsid w:val="00A55C77"/>
    <w:pPr>
      <w:spacing w:before="320" w:after="100"/>
      <w:ind w:firstLine="0"/>
      <w:outlineLvl w:val="8"/>
    </w:pPr>
    <w:rPr>
      <w:rFonts w:asciiTheme="majorHAnsi" w:eastAsiaTheme="majorEastAsia" w:hAnsiTheme="majorHAnsi" w:cstheme="majorBidi"/>
      <w:i/>
      <w:iCs/>
      <w:color w:val="27CED7"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55C77"/>
    <w:rPr>
      <w:b/>
      <w:bCs/>
      <w:sz w:val="18"/>
      <w:szCs w:val="18"/>
    </w:rPr>
  </w:style>
  <w:style w:type="paragraph" w:styleId="Header">
    <w:name w:val="header"/>
    <w:basedOn w:val="Normal"/>
    <w:link w:val="HeaderChar"/>
    <w:uiPriority w:val="99"/>
    <w:unhideWhenUsed/>
    <w:rsid w:val="009D7AEE"/>
    <w:pPr>
      <w:tabs>
        <w:tab w:val="center" w:pos="4680"/>
        <w:tab w:val="right" w:pos="9360"/>
      </w:tabs>
    </w:pPr>
  </w:style>
  <w:style w:type="character" w:customStyle="1" w:styleId="HeaderChar">
    <w:name w:val="Header Char"/>
    <w:basedOn w:val="DefaultParagraphFont"/>
    <w:link w:val="Header"/>
    <w:uiPriority w:val="99"/>
    <w:rsid w:val="009D7AEE"/>
  </w:style>
  <w:style w:type="paragraph" w:styleId="Footer">
    <w:name w:val="footer"/>
    <w:basedOn w:val="Normal"/>
    <w:link w:val="FooterChar"/>
    <w:uiPriority w:val="99"/>
    <w:unhideWhenUsed/>
    <w:rsid w:val="009D7AEE"/>
    <w:pPr>
      <w:tabs>
        <w:tab w:val="center" w:pos="4680"/>
        <w:tab w:val="right" w:pos="9360"/>
      </w:tabs>
    </w:pPr>
  </w:style>
  <w:style w:type="character" w:customStyle="1" w:styleId="FooterChar">
    <w:name w:val="Footer Char"/>
    <w:basedOn w:val="DefaultParagraphFont"/>
    <w:link w:val="Footer"/>
    <w:uiPriority w:val="99"/>
    <w:rsid w:val="009D7AEE"/>
  </w:style>
  <w:style w:type="paragraph" w:styleId="Title">
    <w:name w:val="Title"/>
    <w:basedOn w:val="Normal"/>
    <w:next w:val="Normal"/>
    <w:link w:val="TitleChar"/>
    <w:uiPriority w:val="10"/>
    <w:qFormat/>
    <w:rsid w:val="00A55C77"/>
    <w:pPr>
      <w:pBdr>
        <w:top w:val="single" w:sz="8" w:space="10" w:color="8DD5F1" w:themeColor="accent1" w:themeTint="7F"/>
        <w:bottom w:val="single" w:sz="24" w:space="15" w:color="27CED7" w:themeColor="accent3"/>
      </w:pBdr>
      <w:ind w:firstLine="0"/>
      <w:jc w:val="center"/>
    </w:pPr>
    <w:rPr>
      <w:rFonts w:asciiTheme="majorHAnsi" w:eastAsiaTheme="majorEastAsia" w:hAnsiTheme="majorHAnsi" w:cstheme="majorBidi"/>
      <w:i/>
      <w:iCs/>
      <w:color w:val="0D5571" w:themeColor="accent1" w:themeShade="7F"/>
      <w:sz w:val="60"/>
      <w:szCs w:val="60"/>
    </w:rPr>
  </w:style>
  <w:style w:type="character" w:customStyle="1" w:styleId="TitleChar">
    <w:name w:val="Title Char"/>
    <w:basedOn w:val="DefaultParagraphFont"/>
    <w:link w:val="Title"/>
    <w:uiPriority w:val="10"/>
    <w:rsid w:val="00A55C77"/>
    <w:rPr>
      <w:rFonts w:asciiTheme="majorHAnsi" w:eastAsiaTheme="majorEastAsia" w:hAnsiTheme="majorHAnsi" w:cstheme="majorBidi"/>
      <w:i/>
      <w:iCs/>
      <w:color w:val="0D5571" w:themeColor="accent1" w:themeShade="7F"/>
      <w:sz w:val="60"/>
      <w:szCs w:val="60"/>
    </w:rPr>
  </w:style>
  <w:style w:type="paragraph" w:customStyle="1" w:styleId="Default">
    <w:name w:val="Default"/>
    <w:rsid w:val="001B7706"/>
    <w:pPr>
      <w:autoSpaceDE w:val="0"/>
      <w:autoSpaceDN w:val="0"/>
      <w:adjustRightInd w:val="0"/>
    </w:pPr>
    <w:rPr>
      <w:rFonts w:ascii="Calibri" w:eastAsia="Calibri" w:hAnsi="Calibri" w:cs="Calibri"/>
      <w:color w:val="000000"/>
    </w:rPr>
  </w:style>
  <w:style w:type="paragraph" w:customStyle="1" w:styleId="EndNoteBibliography">
    <w:name w:val="EndNote Bibliography"/>
    <w:basedOn w:val="Normal"/>
    <w:link w:val="EndNoteBibliographyChar"/>
    <w:rsid w:val="001B7706"/>
    <w:pPr>
      <w:shd w:val="clear" w:color="auto" w:fill="FFFFFF"/>
      <w:spacing w:after="120"/>
      <w:jc w:val="both"/>
    </w:pPr>
    <w:rPr>
      <w:rFonts w:ascii="Calibri" w:hAnsi="Calibri" w:cs="Calibri"/>
      <w:noProof/>
      <w:color w:val="000000"/>
    </w:rPr>
  </w:style>
  <w:style w:type="character" w:customStyle="1" w:styleId="EndNoteBibliographyChar">
    <w:name w:val="EndNote Bibliography Char"/>
    <w:basedOn w:val="DefaultParagraphFont"/>
    <w:link w:val="EndNoteBibliography"/>
    <w:rsid w:val="001B7706"/>
    <w:rPr>
      <w:rFonts w:ascii="Calibri" w:hAnsi="Calibri" w:cs="Calibri"/>
      <w:noProof/>
      <w:color w:val="000000"/>
      <w:shd w:val="clear" w:color="auto" w:fill="FFFFFF"/>
    </w:rPr>
  </w:style>
  <w:style w:type="character" w:customStyle="1" w:styleId="Heading1Char">
    <w:name w:val="Heading 1 Char"/>
    <w:basedOn w:val="DefaultParagraphFont"/>
    <w:link w:val="Heading1"/>
    <w:uiPriority w:val="9"/>
    <w:rsid w:val="00A55C77"/>
    <w:rPr>
      <w:rFonts w:asciiTheme="majorHAnsi" w:eastAsiaTheme="majorEastAsia" w:hAnsiTheme="majorHAnsi" w:cstheme="majorBidi"/>
      <w:b/>
      <w:bCs/>
      <w:color w:val="1481AB" w:themeColor="accent1" w:themeShade="BF"/>
      <w:sz w:val="24"/>
      <w:szCs w:val="24"/>
    </w:rPr>
  </w:style>
  <w:style w:type="character" w:customStyle="1" w:styleId="Heading2Char">
    <w:name w:val="Heading 2 Char"/>
    <w:basedOn w:val="DefaultParagraphFont"/>
    <w:link w:val="Heading2"/>
    <w:uiPriority w:val="9"/>
    <w:semiHidden/>
    <w:rsid w:val="00A55C77"/>
    <w:rPr>
      <w:rFonts w:asciiTheme="majorHAnsi" w:eastAsiaTheme="majorEastAsia" w:hAnsiTheme="majorHAnsi" w:cstheme="majorBidi"/>
      <w:color w:val="1481AB" w:themeColor="accent1" w:themeShade="BF"/>
      <w:sz w:val="24"/>
      <w:szCs w:val="24"/>
    </w:rPr>
  </w:style>
  <w:style w:type="character" w:customStyle="1" w:styleId="Heading3Char">
    <w:name w:val="Heading 3 Char"/>
    <w:basedOn w:val="DefaultParagraphFont"/>
    <w:link w:val="Heading3"/>
    <w:uiPriority w:val="9"/>
    <w:semiHidden/>
    <w:rsid w:val="00A55C77"/>
    <w:rPr>
      <w:rFonts w:asciiTheme="majorHAnsi" w:eastAsiaTheme="majorEastAsia" w:hAnsiTheme="majorHAnsi" w:cstheme="majorBidi"/>
      <w:color w:val="1CADE4" w:themeColor="accent1"/>
      <w:sz w:val="24"/>
      <w:szCs w:val="24"/>
    </w:rPr>
  </w:style>
  <w:style w:type="character" w:customStyle="1" w:styleId="Heading4Char">
    <w:name w:val="Heading 4 Char"/>
    <w:basedOn w:val="DefaultParagraphFont"/>
    <w:link w:val="Heading4"/>
    <w:uiPriority w:val="9"/>
    <w:semiHidden/>
    <w:rsid w:val="00A55C77"/>
    <w:rPr>
      <w:rFonts w:asciiTheme="majorHAnsi" w:eastAsiaTheme="majorEastAsia" w:hAnsiTheme="majorHAnsi" w:cstheme="majorBidi"/>
      <w:i/>
      <w:iCs/>
      <w:color w:val="1CADE4" w:themeColor="accent1"/>
      <w:sz w:val="24"/>
      <w:szCs w:val="24"/>
    </w:rPr>
  </w:style>
  <w:style w:type="character" w:customStyle="1" w:styleId="Heading5Char">
    <w:name w:val="Heading 5 Char"/>
    <w:basedOn w:val="DefaultParagraphFont"/>
    <w:link w:val="Heading5"/>
    <w:uiPriority w:val="9"/>
    <w:semiHidden/>
    <w:rsid w:val="00A55C77"/>
    <w:rPr>
      <w:rFonts w:asciiTheme="majorHAnsi" w:eastAsiaTheme="majorEastAsia" w:hAnsiTheme="majorHAnsi" w:cstheme="majorBidi"/>
      <w:color w:val="1CADE4" w:themeColor="accent1"/>
    </w:rPr>
  </w:style>
  <w:style w:type="character" w:customStyle="1" w:styleId="Heading6Char">
    <w:name w:val="Heading 6 Char"/>
    <w:basedOn w:val="DefaultParagraphFont"/>
    <w:link w:val="Heading6"/>
    <w:uiPriority w:val="9"/>
    <w:semiHidden/>
    <w:rsid w:val="00A55C77"/>
    <w:rPr>
      <w:rFonts w:asciiTheme="majorHAnsi" w:eastAsiaTheme="majorEastAsia" w:hAnsiTheme="majorHAnsi" w:cstheme="majorBidi"/>
      <w:i/>
      <w:iCs/>
      <w:color w:val="1CADE4" w:themeColor="accent1"/>
    </w:rPr>
  </w:style>
  <w:style w:type="character" w:customStyle="1" w:styleId="Heading7Char">
    <w:name w:val="Heading 7 Char"/>
    <w:basedOn w:val="DefaultParagraphFont"/>
    <w:link w:val="Heading7"/>
    <w:uiPriority w:val="9"/>
    <w:semiHidden/>
    <w:rsid w:val="00A55C77"/>
    <w:rPr>
      <w:rFonts w:asciiTheme="majorHAnsi" w:eastAsiaTheme="majorEastAsia" w:hAnsiTheme="majorHAnsi" w:cstheme="majorBidi"/>
      <w:b/>
      <w:bCs/>
      <w:color w:val="27CED7" w:themeColor="accent3"/>
      <w:sz w:val="20"/>
      <w:szCs w:val="20"/>
    </w:rPr>
  </w:style>
  <w:style w:type="character" w:customStyle="1" w:styleId="Heading8Char">
    <w:name w:val="Heading 8 Char"/>
    <w:basedOn w:val="DefaultParagraphFont"/>
    <w:link w:val="Heading8"/>
    <w:uiPriority w:val="9"/>
    <w:semiHidden/>
    <w:rsid w:val="00A55C77"/>
    <w:rPr>
      <w:rFonts w:asciiTheme="majorHAnsi" w:eastAsiaTheme="majorEastAsia" w:hAnsiTheme="majorHAnsi" w:cstheme="majorBidi"/>
      <w:b/>
      <w:bCs/>
      <w:i/>
      <w:iCs/>
      <w:color w:val="27CED7" w:themeColor="accent3"/>
      <w:sz w:val="20"/>
      <w:szCs w:val="20"/>
    </w:rPr>
  </w:style>
  <w:style w:type="character" w:customStyle="1" w:styleId="Heading9Char">
    <w:name w:val="Heading 9 Char"/>
    <w:basedOn w:val="DefaultParagraphFont"/>
    <w:link w:val="Heading9"/>
    <w:uiPriority w:val="9"/>
    <w:semiHidden/>
    <w:rsid w:val="00A55C77"/>
    <w:rPr>
      <w:rFonts w:asciiTheme="majorHAnsi" w:eastAsiaTheme="majorEastAsia" w:hAnsiTheme="majorHAnsi" w:cstheme="majorBidi"/>
      <w:i/>
      <w:iCs/>
      <w:color w:val="27CED7" w:themeColor="accent3"/>
      <w:sz w:val="20"/>
      <w:szCs w:val="20"/>
    </w:rPr>
  </w:style>
  <w:style w:type="paragraph" w:styleId="Subtitle">
    <w:name w:val="Subtitle"/>
    <w:basedOn w:val="Normal"/>
    <w:next w:val="Normal"/>
    <w:link w:val="SubtitleChar"/>
    <w:uiPriority w:val="11"/>
    <w:qFormat/>
    <w:rsid w:val="00A55C77"/>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A55C77"/>
    <w:rPr>
      <w:i/>
      <w:iCs/>
      <w:sz w:val="24"/>
      <w:szCs w:val="24"/>
    </w:rPr>
  </w:style>
  <w:style w:type="character" w:styleId="Strong">
    <w:name w:val="Strong"/>
    <w:basedOn w:val="DefaultParagraphFont"/>
    <w:uiPriority w:val="22"/>
    <w:qFormat/>
    <w:rsid w:val="00A55C77"/>
    <w:rPr>
      <w:b/>
      <w:bCs/>
      <w:spacing w:val="0"/>
    </w:rPr>
  </w:style>
  <w:style w:type="character" w:styleId="Emphasis">
    <w:name w:val="Emphasis"/>
    <w:uiPriority w:val="20"/>
    <w:qFormat/>
    <w:rsid w:val="00A55C77"/>
    <w:rPr>
      <w:b/>
      <w:bCs/>
      <w:i/>
      <w:iCs/>
      <w:color w:val="5A5A5A" w:themeColor="text1" w:themeTint="A5"/>
    </w:rPr>
  </w:style>
  <w:style w:type="paragraph" w:styleId="NoSpacing">
    <w:name w:val="No Spacing"/>
    <w:basedOn w:val="Normal"/>
    <w:link w:val="NoSpacingChar"/>
    <w:uiPriority w:val="1"/>
    <w:qFormat/>
    <w:rsid w:val="00A55C77"/>
    <w:pPr>
      <w:ind w:firstLine="0"/>
    </w:pPr>
  </w:style>
  <w:style w:type="paragraph" w:styleId="ListParagraph">
    <w:name w:val="List Paragraph"/>
    <w:basedOn w:val="Normal"/>
    <w:uiPriority w:val="34"/>
    <w:qFormat/>
    <w:rsid w:val="00A55C77"/>
    <w:pPr>
      <w:ind w:left="720"/>
      <w:contextualSpacing/>
    </w:pPr>
  </w:style>
  <w:style w:type="paragraph" w:styleId="Quote">
    <w:name w:val="Quote"/>
    <w:basedOn w:val="Normal"/>
    <w:next w:val="Normal"/>
    <w:link w:val="QuoteChar"/>
    <w:uiPriority w:val="29"/>
    <w:qFormat/>
    <w:rsid w:val="00A55C77"/>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55C77"/>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55C77"/>
    <w:pPr>
      <w:pBdr>
        <w:top w:val="single" w:sz="12" w:space="10" w:color="A4DDF4" w:themeColor="accent1" w:themeTint="66"/>
        <w:left w:val="single" w:sz="36" w:space="4" w:color="1CADE4" w:themeColor="accent1"/>
        <w:bottom w:val="single" w:sz="24" w:space="10" w:color="27CED7" w:themeColor="accent3"/>
        <w:right w:val="single" w:sz="36" w:space="4" w:color="1CADE4" w:themeColor="accent1"/>
      </w:pBdr>
      <w:shd w:val="clear" w:color="auto" w:fill="1CADE4"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55C77"/>
    <w:rPr>
      <w:rFonts w:asciiTheme="majorHAnsi" w:eastAsiaTheme="majorEastAsia" w:hAnsiTheme="majorHAnsi" w:cstheme="majorBidi"/>
      <w:i/>
      <w:iCs/>
      <w:color w:val="FFFFFF" w:themeColor="background1"/>
      <w:sz w:val="24"/>
      <w:szCs w:val="24"/>
      <w:shd w:val="clear" w:color="auto" w:fill="1CADE4" w:themeFill="accent1"/>
    </w:rPr>
  </w:style>
  <w:style w:type="character" w:styleId="SubtleEmphasis">
    <w:name w:val="Subtle Emphasis"/>
    <w:uiPriority w:val="19"/>
    <w:qFormat/>
    <w:rsid w:val="00A55C77"/>
    <w:rPr>
      <w:i/>
      <w:iCs/>
      <w:color w:val="5A5A5A" w:themeColor="text1" w:themeTint="A5"/>
    </w:rPr>
  </w:style>
  <w:style w:type="character" w:styleId="IntenseEmphasis">
    <w:name w:val="Intense Emphasis"/>
    <w:uiPriority w:val="21"/>
    <w:qFormat/>
    <w:rsid w:val="00A55C77"/>
    <w:rPr>
      <w:b/>
      <w:bCs/>
      <w:i/>
      <w:iCs/>
      <w:color w:val="1CADE4" w:themeColor="accent1"/>
      <w:sz w:val="22"/>
      <w:szCs w:val="22"/>
    </w:rPr>
  </w:style>
  <w:style w:type="character" w:styleId="SubtleReference">
    <w:name w:val="Subtle Reference"/>
    <w:uiPriority w:val="31"/>
    <w:qFormat/>
    <w:rsid w:val="00A55C77"/>
    <w:rPr>
      <w:color w:val="auto"/>
      <w:u w:val="single" w:color="27CED7" w:themeColor="accent3"/>
    </w:rPr>
  </w:style>
  <w:style w:type="character" w:styleId="IntenseReference">
    <w:name w:val="Intense Reference"/>
    <w:basedOn w:val="DefaultParagraphFont"/>
    <w:uiPriority w:val="32"/>
    <w:qFormat/>
    <w:rsid w:val="00A55C77"/>
    <w:rPr>
      <w:b/>
      <w:bCs/>
      <w:color w:val="1D99A0" w:themeColor="accent3" w:themeShade="BF"/>
      <w:u w:val="single" w:color="27CED7" w:themeColor="accent3"/>
    </w:rPr>
  </w:style>
  <w:style w:type="character" w:styleId="BookTitle">
    <w:name w:val="Book Title"/>
    <w:basedOn w:val="DefaultParagraphFont"/>
    <w:uiPriority w:val="33"/>
    <w:qFormat/>
    <w:rsid w:val="00A55C77"/>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A55C77"/>
    <w:pPr>
      <w:outlineLvl w:val="9"/>
    </w:pPr>
  </w:style>
  <w:style w:type="paragraph" w:customStyle="1" w:styleId="PersonalName">
    <w:name w:val="Personal Name"/>
    <w:basedOn w:val="Title"/>
    <w:rsid w:val="00A55C77"/>
    <w:rPr>
      <w:b/>
      <w:caps/>
      <w:color w:val="000000"/>
      <w:sz w:val="28"/>
      <w:szCs w:val="28"/>
    </w:rPr>
  </w:style>
  <w:style w:type="character" w:customStyle="1" w:styleId="NoSpacingChar">
    <w:name w:val="No Spacing Char"/>
    <w:basedOn w:val="DefaultParagraphFont"/>
    <w:link w:val="NoSpacing"/>
    <w:uiPriority w:val="1"/>
    <w:rsid w:val="00A55C77"/>
  </w:style>
  <w:style w:type="character" w:styleId="Hyperlink">
    <w:name w:val="Hyperlink"/>
    <w:basedOn w:val="DefaultParagraphFont"/>
    <w:uiPriority w:val="99"/>
    <w:unhideWhenUsed/>
    <w:rsid w:val="00384827"/>
    <w:rPr>
      <w:color w:val="F49100" w:themeColor="hyperlink"/>
      <w:u w:val="single"/>
    </w:rPr>
  </w:style>
  <w:style w:type="character" w:styleId="UnresolvedMention">
    <w:name w:val="Unresolved Mention"/>
    <w:basedOn w:val="DefaultParagraphFont"/>
    <w:uiPriority w:val="99"/>
    <w:semiHidden/>
    <w:unhideWhenUsed/>
    <w:rsid w:val="003848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11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emf"/><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emf"/><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fontTable" Target="fontTable.xml"/><Relationship Id="rId30" Type="http://schemas.openxmlformats.org/officeDocument/2006/relationships/customXml" Target="../customXml/item2.xm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AA1768C6E7614294466E473A722175" ma:contentTypeVersion="0" ma:contentTypeDescription="Create a new document." ma:contentTypeScope="" ma:versionID="acb18b72ddc3f42e06a2cc8f860ed64a">
  <xsd:schema xmlns:xsd="http://www.w3.org/2001/XMLSchema" xmlns:xs="http://www.w3.org/2001/XMLSchema" xmlns:p="http://schemas.microsoft.com/office/2006/metadata/properties" targetNamespace="http://schemas.microsoft.com/office/2006/metadata/properties" ma:root="true" ma:fieldsID="b34f15b030d40ffca33e4aeb8eb001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A8DC73-C233-4287-AD92-39FF275BDAC6}"/>
</file>

<file path=customXml/itemProps2.xml><?xml version="1.0" encoding="utf-8"?>
<ds:datastoreItem xmlns:ds="http://schemas.openxmlformats.org/officeDocument/2006/customXml" ds:itemID="{372EB420-F3CD-4D4D-B257-BD78FCD29E2D}"/>
</file>

<file path=customXml/itemProps3.xml><?xml version="1.0" encoding="utf-8"?>
<ds:datastoreItem xmlns:ds="http://schemas.openxmlformats.org/officeDocument/2006/customXml" ds:itemID="{7C25287E-E9F0-41E9-B4EB-91EE43E96697}"/>
</file>

<file path=docProps/app.xml><?xml version="1.0" encoding="utf-8"?>
<Properties xmlns="http://schemas.openxmlformats.org/officeDocument/2006/extended-properties" xmlns:vt="http://schemas.openxmlformats.org/officeDocument/2006/docPropsVTypes">
  <Template>Normal.dotm</Template>
  <TotalTime>1011</TotalTime>
  <Pages>13</Pages>
  <Words>2878</Words>
  <Characters>16407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100</cp:revision>
  <dcterms:created xsi:type="dcterms:W3CDTF">2021-12-07T05:10:00Z</dcterms:created>
  <dcterms:modified xsi:type="dcterms:W3CDTF">2022-01-17T14:36:00Z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0x010100A9AA1768C6E7614294466E473A722175</vt:lpwstr>
  </property>
</Properties>
</file>