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1EEF9" w:themeColor="accent1" w:themeTint="33"/>
  <w:body>
    <w:p w14:paraId="2F7B55D0" w14:textId="7CE9F47F" w:rsidR="00A55C77" w:rsidRDefault="001B7706" w:rsidP="00E62735">
      <w:pPr>
        <w:pStyle w:val="Title"/>
      </w:pPr>
      <w:r w:rsidRPr="00460AC2">
        <w:rPr>
          <w:color w:val="FFFF00"/>
        </w:rPr>
        <w:t>Port Honduras Marine Reserve:</w:t>
      </w:r>
      <w:r w:rsidR="003B40E6">
        <w:t xml:space="preserve"> </w:t>
      </w:r>
    </w:p>
    <w:p w14:paraId="3E5B6BAD" w14:textId="77777777" w:rsidR="00460AC2" w:rsidRDefault="00DB62AA" w:rsidP="00E62735">
      <w:pPr>
        <w:pStyle w:val="Title"/>
        <w:rPr>
          <w:sz w:val="52"/>
          <w:szCs w:val="52"/>
        </w:rPr>
      </w:pPr>
      <w:r w:rsidRPr="00DB62AA">
        <w:rPr>
          <w:sz w:val="52"/>
          <w:szCs w:val="52"/>
        </w:rPr>
        <w:t>Donkey Dung</w:t>
      </w:r>
      <w:r w:rsidR="00460AC2">
        <w:rPr>
          <w:sz w:val="52"/>
          <w:szCs w:val="52"/>
        </w:rPr>
        <w:t xml:space="preserve"> </w:t>
      </w:r>
      <w:r w:rsidRPr="00DB62AA">
        <w:rPr>
          <w:sz w:val="52"/>
          <w:szCs w:val="52"/>
        </w:rPr>
        <w:t>Sea Cucumber</w:t>
      </w:r>
    </w:p>
    <w:p w14:paraId="3B075051" w14:textId="77777777" w:rsidR="00460AC2" w:rsidRDefault="00460AC2" w:rsidP="00E62735">
      <w:pPr>
        <w:pStyle w:val="Title"/>
        <w:rPr>
          <w:sz w:val="52"/>
          <w:szCs w:val="52"/>
        </w:rPr>
      </w:pPr>
      <w:r w:rsidRPr="00DB62AA">
        <w:rPr>
          <w:sz w:val="52"/>
          <w:szCs w:val="52"/>
        </w:rPr>
        <w:t>(</w:t>
      </w:r>
      <w:proofErr w:type="spellStart"/>
      <w:r w:rsidRPr="00DB62AA">
        <w:rPr>
          <w:sz w:val="52"/>
          <w:szCs w:val="52"/>
        </w:rPr>
        <w:t>Holothuria</w:t>
      </w:r>
      <w:proofErr w:type="spellEnd"/>
      <w:r w:rsidRPr="00DB62AA">
        <w:rPr>
          <w:sz w:val="52"/>
          <w:szCs w:val="52"/>
        </w:rPr>
        <w:t xml:space="preserve"> </w:t>
      </w:r>
      <w:proofErr w:type="spellStart"/>
      <w:r w:rsidRPr="00DB62AA">
        <w:rPr>
          <w:sz w:val="52"/>
          <w:szCs w:val="52"/>
        </w:rPr>
        <w:t>mexicana</w:t>
      </w:r>
      <w:proofErr w:type="spellEnd"/>
      <w:r w:rsidRPr="00DB62AA">
        <w:rPr>
          <w:sz w:val="52"/>
          <w:szCs w:val="52"/>
        </w:rPr>
        <w:t>)</w:t>
      </w:r>
    </w:p>
    <w:p w14:paraId="31B2C207" w14:textId="63792EDA" w:rsidR="00535831" w:rsidRDefault="00DB62AA" w:rsidP="00E62735">
      <w:pPr>
        <w:pStyle w:val="Title"/>
        <w:rPr>
          <w:sz w:val="52"/>
          <w:szCs w:val="52"/>
        </w:rPr>
      </w:pPr>
      <w:r w:rsidRPr="00DB62AA">
        <w:rPr>
          <w:sz w:val="52"/>
          <w:szCs w:val="52"/>
        </w:rPr>
        <w:t xml:space="preserve"> Population Assessment</w:t>
      </w:r>
    </w:p>
    <w:p w14:paraId="50BD08CA" w14:textId="31CA4E40" w:rsidR="001B7706" w:rsidRPr="00DB62AA" w:rsidRDefault="00DB62AA" w:rsidP="00E62735">
      <w:pPr>
        <w:pStyle w:val="Title"/>
        <w:rPr>
          <w:sz w:val="52"/>
          <w:szCs w:val="52"/>
        </w:rPr>
      </w:pPr>
      <w:r w:rsidRPr="00DB62AA">
        <w:rPr>
          <w:sz w:val="52"/>
          <w:szCs w:val="52"/>
        </w:rPr>
        <w:t>2020-21</w:t>
      </w:r>
    </w:p>
    <w:p w14:paraId="4B6C485E" w14:textId="3665F458" w:rsidR="00972F16" w:rsidRDefault="00972F16" w:rsidP="00947C63">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C7C33" w14:textId="67D8A2C9" w:rsidR="00972F16" w:rsidRDefault="00972F16" w:rsidP="00DB62AA">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3D3508" w14:textId="14212747" w:rsidR="001B7706" w:rsidRDefault="001B7706" w:rsidP="003B40E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for</w:t>
      </w:r>
    </w:p>
    <w:p w14:paraId="4A037A85" w14:textId="77777777" w:rsidR="001B7706" w:rsidRPr="00F72CC6" w:rsidRDefault="001B7706" w:rsidP="001B7706">
      <w:pPr>
        <w:spacing w:line="276" w:lineRule="auto"/>
        <w:jc w:val="cente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Toledo Institute for Development and Environment</w:t>
      </w:r>
    </w:p>
    <w:p w14:paraId="0C297469" w14:textId="77777777" w:rsidR="001B7706" w:rsidRPr="00F72CC6" w:rsidRDefault="001B770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Mile San Antonio Road</w:t>
      </w:r>
    </w:p>
    <w:p w14:paraId="2D638A06" w14:textId="6DD518CC" w:rsidR="001B7706" w:rsidRDefault="001B770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Punta </w:t>
      </w:r>
      <w:proofErr w:type="spellStart"/>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Gorda</w:t>
      </w:r>
      <w:proofErr w:type="spellEnd"/>
      <w:r w:rsidRPr="00F72CC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Town, </w:t>
      </w: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Toledo</w:t>
      </w:r>
    </w:p>
    <w:p w14:paraId="232541B2" w14:textId="77777777" w:rsidR="00947C63" w:rsidRPr="00F72CC6" w:rsidRDefault="00947C63"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3187C" w14:textId="39F918AC" w:rsidR="001B770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49024" behindDoc="1" locked="0" layoutInCell="1" allowOverlap="1" wp14:anchorId="51315CD5" wp14:editId="3BE07A0D">
            <wp:simplePos x="0" y="0"/>
            <wp:positionH relativeFrom="column">
              <wp:posOffset>2438700</wp:posOffset>
            </wp:positionH>
            <wp:positionV relativeFrom="paragraph">
              <wp:posOffset>146685</wp:posOffset>
            </wp:positionV>
            <wp:extent cx="1227667" cy="1351863"/>
            <wp:effectExtent l="0" t="0" r="4445" b="0"/>
            <wp:wrapNone/>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27667" cy="1351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0573D" w14:textId="2B31FBAE" w:rsidR="001B7706" w:rsidRDefault="001B7706" w:rsidP="003B40E6">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C5A763" w14:textId="4A25985D" w:rsidR="00972F16" w:rsidRDefault="00972F16" w:rsidP="001B770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25656" w14:textId="77777777" w:rsidR="00972F16" w:rsidRDefault="00972F16" w:rsidP="00972F16">
      <w:pPr>
        <w:spacing w:line="276" w:lineRule="auto"/>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744318" w14:textId="1481E3E0" w:rsidR="003B40E6" w:rsidRDefault="0090156D" w:rsidP="00972F16">
      <w:pPr>
        <w:spacing w:line="276" w:lineRule="auto"/>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1B7706">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4D43C33E" w14:textId="77777777" w:rsidR="00A55C77" w:rsidRDefault="00A55C77" w:rsidP="003E2A2C">
      <w:pPr>
        <w:spacing w:line="276" w:lineRule="auto"/>
      </w:pPr>
    </w:p>
    <w:p w14:paraId="6E4181D1" w14:textId="2EF01CCD" w:rsidR="003B40E6" w:rsidRDefault="003B40E6" w:rsidP="003E2A2C">
      <w:pPr>
        <w:spacing w:line="276" w:lineRule="auto"/>
        <w:jc w:val="center"/>
      </w:pPr>
      <w:r>
        <w:t>Funded by</w:t>
      </w:r>
    </w:p>
    <w:p w14:paraId="6AD10322" w14:textId="4C8DB612" w:rsidR="00A55C77" w:rsidRDefault="003E2A2C">
      <w:pPr>
        <w:rPr>
          <w:rFonts w:ascii="Bangla MN" w:hAnsi="Bangla MN" w:cs="Bangla MN"/>
          <w:b/>
          <w:bCs/>
          <w:sz w:val="28"/>
          <w:szCs w:val="28"/>
        </w:rPr>
      </w:pPr>
      <w:r w:rsidRPr="00D749E7">
        <w:rPr>
          <w:rFonts w:cstheme="minorHAnsi"/>
          <w:noProof/>
        </w:rPr>
        <w:drawing>
          <wp:anchor distT="0" distB="0" distL="114300" distR="114300" simplePos="0" relativeHeight="251651072" behindDoc="1" locked="0" layoutInCell="1" allowOverlap="1" wp14:anchorId="4F46BDC8" wp14:editId="2DB70D41">
            <wp:simplePos x="0" y="0"/>
            <wp:positionH relativeFrom="column">
              <wp:posOffset>2364332</wp:posOffset>
            </wp:positionH>
            <wp:positionV relativeFrom="page">
              <wp:posOffset>8699105</wp:posOffset>
            </wp:positionV>
            <wp:extent cx="1501775" cy="469900"/>
            <wp:effectExtent l="0" t="0" r="0" b="0"/>
            <wp:wrapNone/>
            <wp:docPr id="7" name="Picture 7" descr="PACT – PACT: Protected Areas Conserv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 – PACT: Protected Areas Conservation Tr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775"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45E97" w14:textId="010891AF" w:rsidR="00C30CDA" w:rsidRPr="0031288E" w:rsidRDefault="00591983" w:rsidP="00A55C77">
      <w:pPr>
        <w:rPr>
          <w:rFonts w:ascii="Bangla MN" w:hAnsi="Bangla MN" w:cs="Bangla MN"/>
          <w:b/>
          <w:bCs/>
          <w:sz w:val="28"/>
          <w:szCs w:val="28"/>
        </w:rPr>
      </w:pPr>
      <w:r w:rsidRPr="0031288E">
        <w:rPr>
          <w:rFonts w:ascii="Bangla MN" w:hAnsi="Bangla MN" w:cs="Bangla MN"/>
          <w:b/>
          <w:bCs/>
          <w:sz w:val="28"/>
          <w:szCs w:val="28"/>
        </w:rPr>
        <w:lastRenderedPageBreak/>
        <w:t>Introduction</w:t>
      </w:r>
    </w:p>
    <w:p w14:paraId="3BCA01BE" w14:textId="3A95FDE4" w:rsidR="00471BBD" w:rsidRPr="0061024A" w:rsidRDefault="004A70A6" w:rsidP="00591983">
      <w:pPr>
        <w:spacing w:line="276" w:lineRule="auto"/>
        <w:jc w:val="both"/>
        <w:rPr>
          <w:rFonts w:ascii="Verdana" w:hAnsi="Verdana"/>
          <w:i w:val="0"/>
          <w:iCs w:val="0"/>
          <w:sz w:val="22"/>
          <w:szCs w:val="22"/>
        </w:rPr>
      </w:pPr>
      <w:r w:rsidRPr="0061024A">
        <w:rPr>
          <w:rFonts w:ascii="Verdana" w:hAnsi="Verdana"/>
          <w:i w:val="0"/>
          <w:iCs w:val="0"/>
          <w:sz w:val="22"/>
          <w:szCs w:val="22"/>
        </w:rPr>
        <w:t>In Belize, t</w:t>
      </w:r>
      <w:r w:rsidR="00587CB4" w:rsidRPr="0061024A">
        <w:rPr>
          <w:rFonts w:ascii="Verdana" w:hAnsi="Verdana"/>
          <w:i w:val="0"/>
          <w:iCs w:val="0"/>
          <w:sz w:val="22"/>
          <w:szCs w:val="22"/>
        </w:rPr>
        <w:t>he donkey dung s</w:t>
      </w:r>
      <w:r w:rsidR="00722AB7" w:rsidRPr="0061024A">
        <w:rPr>
          <w:rFonts w:ascii="Verdana" w:hAnsi="Verdana"/>
          <w:i w:val="0"/>
          <w:iCs w:val="0"/>
          <w:sz w:val="22"/>
          <w:szCs w:val="22"/>
        </w:rPr>
        <w:t>ea cucumber (</w:t>
      </w:r>
      <w:proofErr w:type="spellStart"/>
      <w:r w:rsidR="00722AB7" w:rsidRPr="0061024A">
        <w:rPr>
          <w:rFonts w:ascii="Verdana" w:hAnsi="Verdana"/>
          <w:sz w:val="22"/>
          <w:szCs w:val="22"/>
        </w:rPr>
        <w:t>Holothuria</w:t>
      </w:r>
      <w:proofErr w:type="spellEnd"/>
      <w:r w:rsidR="00722AB7" w:rsidRPr="0061024A">
        <w:rPr>
          <w:rFonts w:ascii="Verdana" w:hAnsi="Verdana"/>
          <w:sz w:val="22"/>
          <w:szCs w:val="22"/>
        </w:rPr>
        <w:t xml:space="preserve"> </w:t>
      </w:r>
      <w:proofErr w:type="spellStart"/>
      <w:r w:rsidR="00587CB4" w:rsidRPr="0061024A">
        <w:rPr>
          <w:rFonts w:ascii="Verdana" w:hAnsi="Verdana"/>
          <w:sz w:val="22"/>
          <w:szCs w:val="22"/>
        </w:rPr>
        <w:t>m</w:t>
      </w:r>
      <w:r w:rsidR="00722AB7" w:rsidRPr="0061024A">
        <w:rPr>
          <w:rFonts w:ascii="Verdana" w:hAnsi="Verdana"/>
          <w:sz w:val="22"/>
          <w:szCs w:val="22"/>
        </w:rPr>
        <w:t>exicana</w:t>
      </w:r>
      <w:proofErr w:type="spellEnd"/>
      <w:r w:rsidR="00722AB7" w:rsidRPr="0061024A">
        <w:rPr>
          <w:rFonts w:ascii="Verdana" w:hAnsi="Verdana"/>
          <w:i w:val="0"/>
          <w:iCs w:val="0"/>
          <w:sz w:val="22"/>
          <w:szCs w:val="22"/>
        </w:rPr>
        <w:t xml:space="preserve">) </w:t>
      </w:r>
      <w:r w:rsidR="00E62BD2" w:rsidRPr="0061024A">
        <w:rPr>
          <w:rFonts w:ascii="Verdana" w:hAnsi="Verdana"/>
          <w:i w:val="0"/>
          <w:iCs w:val="0"/>
          <w:sz w:val="22"/>
          <w:szCs w:val="22"/>
        </w:rPr>
        <w:t>is</w:t>
      </w:r>
      <w:r w:rsidR="00722AB7" w:rsidRPr="0061024A">
        <w:rPr>
          <w:rFonts w:ascii="Verdana" w:hAnsi="Verdana"/>
          <w:i w:val="0"/>
          <w:iCs w:val="0"/>
          <w:sz w:val="22"/>
          <w:szCs w:val="22"/>
        </w:rPr>
        <w:t xml:space="preserve"> an important</w:t>
      </w:r>
      <w:r w:rsidR="0088166F" w:rsidRPr="0061024A">
        <w:rPr>
          <w:rFonts w:ascii="Verdana" w:hAnsi="Verdana"/>
          <w:i w:val="0"/>
          <w:iCs w:val="0"/>
          <w:sz w:val="22"/>
          <w:szCs w:val="22"/>
        </w:rPr>
        <w:t xml:space="preserve">, commercially fished </w:t>
      </w:r>
      <w:r w:rsidR="00722AB7" w:rsidRPr="0061024A">
        <w:rPr>
          <w:rFonts w:ascii="Verdana" w:hAnsi="Verdana"/>
          <w:i w:val="0"/>
          <w:iCs w:val="0"/>
          <w:sz w:val="22"/>
          <w:szCs w:val="22"/>
        </w:rPr>
        <w:t>species, primarily for export</w:t>
      </w:r>
      <w:r w:rsidRPr="0061024A">
        <w:rPr>
          <w:rFonts w:ascii="Verdana" w:hAnsi="Verdana"/>
          <w:i w:val="0"/>
          <w:iCs w:val="0"/>
          <w:sz w:val="22"/>
          <w:szCs w:val="22"/>
        </w:rPr>
        <w:t xml:space="preserve">, </w:t>
      </w:r>
      <w:r w:rsidR="00E62BD2" w:rsidRPr="0061024A">
        <w:rPr>
          <w:rFonts w:ascii="Verdana" w:hAnsi="Verdana"/>
          <w:i w:val="0"/>
          <w:iCs w:val="0"/>
          <w:sz w:val="22"/>
          <w:szCs w:val="22"/>
        </w:rPr>
        <w:t>since 2009 (Perez and Garcia</w:t>
      </w:r>
      <w:r w:rsidRPr="0061024A">
        <w:rPr>
          <w:rFonts w:ascii="Verdana" w:hAnsi="Verdana"/>
          <w:i w:val="0"/>
          <w:iCs w:val="0"/>
          <w:sz w:val="22"/>
          <w:szCs w:val="22"/>
        </w:rPr>
        <w:t xml:space="preserve"> 2012)</w:t>
      </w:r>
      <w:r w:rsidR="00722AB7" w:rsidRPr="0061024A">
        <w:rPr>
          <w:rFonts w:ascii="Verdana" w:hAnsi="Verdana"/>
          <w:i w:val="0"/>
          <w:iCs w:val="0"/>
          <w:sz w:val="22"/>
          <w:szCs w:val="22"/>
        </w:rPr>
        <w:t xml:space="preserve">. </w:t>
      </w:r>
      <w:r w:rsidR="008930A1" w:rsidRPr="0061024A">
        <w:rPr>
          <w:rFonts w:ascii="Verdana" w:hAnsi="Verdana"/>
          <w:i w:val="0"/>
          <w:iCs w:val="0"/>
          <w:sz w:val="22"/>
          <w:szCs w:val="22"/>
        </w:rPr>
        <w:t xml:space="preserve">It is the most abundant of the 49 species of sea cucumbers found in Belize (Rogers 2013). </w:t>
      </w:r>
      <w:r w:rsidR="00003CD4" w:rsidRPr="0061024A">
        <w:rPr>
          <w:rFonts w:ascii="Verdana" w:hAnsi="Verdana"/>
          <w:i w:val="0"/>
          <w:iCs w:val="0"/>
          <w:sz w:val="22"/>
          <w:szCs w:val="22"/>
        </w:rPr>
        <w:t xml:space="preserve">In the Port Honduras Marine Reserve (PHMR), the donkey dung sea cucumber gained commercial importance and was targeted at increasing levels from 2011 (TIDE 2019). This species has been fished for two decades </w:t>
      </w:r>
      <w:r w:rsidR="00471BBD" w:rsidRPr="0061024A">
        <w:rPr>
          <w:rFonts w:ascii="Verdana" w:hAnsi="Verdana"/>
          <w:i w:val="0"/>
          <w:iCs w:val="0"/>
          <w:sz w:val="22"/>
          <w:szCs w:val="22"/>
        </w:rPr>
        <w:t>to supply</w:t>
      </w:r>
      <w:r w:rsidR="00003CD4" w:rsidRPr="0061024A">
        <w:rPr>
          <w:rFonts w:ascii="Verdana" w:hAnsi="Verdana"/>
          <w:i w:val="0"/>
          <w:iCs w:val="0"/>
          <w:sz w:val="22"/>
          <w:szCs w:val="22"/>
        </w:rPr>
        <w:t xml:space="preserve"> regional markets in Guatemala and a local Asian market in Belize. However, fishing for export to international markets started in 2009 (Rogers </w:t>
      </w:r>
      <w:r w:rsidR="00003CD4" w:rsidRPr="00F7562A">
        <w:rPr>
          <w:rFonts w:ascii="Verdana" w:hAnsi="Verdana"/>
          <w:sz w:val="22"/>
          <w:szCs w:val="22"/>
        </w:rPr>
        <w:t>et al</w:t>
      </w:r>
      <w:r w:rsidR="00003CD4" w:rsidRPr="0061024A">
        <w:rPr>
          <w:rFonts w:ascii="Verdana" w:hAnsi="Verdana"/>
          <w:i w:val="0"/>
          <w:iCs w:val="0"/>
          <w:sz w:val="22"/>
          <w:szCs w:val="22"/>
        </w:rPr>
        <w:t>. 2018). With the advent of this export market, b</w:t>
      </w:r>
      <w:r w:rsidR="0088166F" w:rsidRPr="0061024A">
        <w:rPr>
          <w:rFonts w:ascii="Verdana" w:hAnsi="Verdana"/>
          <w:i w:val="0"/>
          <w:iCs w:val="0"/>
          <w:sz w:val="22"/>
          <w:szCs w:val="22"/>
        </w:rPr>
        <w:t>y 2016</w:t>
      </w:r>
      <w:r w:rsidR="00003CD4" w:rsidRPr="0061024A">
        <w:rPr>
          <w:rFonts w:ascii="Verdana" w:hAnsi="Verdana"/>
          <w:i w:val="0"/>
          <w:iCs w:val="0"/>
          <w:sz w:val="22"/>
          <w:szCs w:val="22"/>
        </w:rPr>
        <w:t xml:space="preserve"> the donkey dung sea cucumber was considered overfished across Belize and including the PHMR.</w:t>
      </w:r>
      <w:r w:rsidR="00C52FB1" w:rsidRPr="0061024A">
        <w:rPr>
          <w:rFonts w:ascii="Verdana" w:hAnsi="Verdana"/>
          <w:i w:val="0"/>
          <w:iCs w:val="0"/>
          <w:sz w:val="22"/>
          <w:szCs w:val="22"/>
        </w:rPr>
        <w:t xml:space="preserve"> </w:t>
      </w:r>
      <w:r w:rsidR="00003CD4" w:rsidRPr="0061024A">
        <w:rPr>
          <w:rFonts w:ascii="Verdana" w:hAnsi="Verdana"/>
          <w:i w:val="0"/>
          <w:iCs w:val="0"/>
          <w:sz w:val="22"/>
          <w:szCs w:val="22"/>
        </w:rPr>
        <w:t>This population decline</w:t>
      </w:r>
      <w:r w:rsidR="00722AB7" w:rsidRPr="0061024A">
        <w:rPr>
          <w:rFonts w:ascii="Verdana" w:hAnsi="Verdana"/>
          <w:i w:val="0"/>
          <w:iCs w:val="0"/>
          <w:sz w:val="22"/>
          <w:szCs w:val="22"/>
        </w:rPr>
        <w:t xml:space="preserve"> warrant</w:t>
      </w:r>
      <w:r w:rsidR="00003CD4" w:rsidRPr="0061024A">
        <w:rPr>
          <w:rFonts w:ascii="Verdana" w:hAnsi="Verdana"/>
          <w:i w:val="0"/>
          <w:iCs w:val="0"/>
          <w:sz w:val="22"/>
          <w:szCs w:val="22"/>
        </w:rPr>
        <w:t>ed</w:t>
      </w:r>
      <w:r w:rsidR="00722AB7" w:rsidRPr="0061024A">
        <w:rPr>
          <w:rFonts w:ascii="Verdana" w:hAnsi="Verdana"/>
          <w:i w:val="0"/>
          <w:iCs w:val="0"/>
          <w:sz w:val="22"/>
          <w:szCs w:val="22"/>
        </w:rPr>
        <w:t xml:space="preserve"> a </w:t>
      </w:r>
      <w:r w:rsidR="00C52FB1" w:rsidRPr="0061024A">
        <w:rPr>
          <w:rFonts w:ascii="Verdana" w:hAnsi="Verdana"/>
          <w:i w:val="0"/>
          <w:iCs w:val="0"/>
          <w:sz w:val="22"/>
          <w:szCs w:val="22"/>
        </w:rPr>
        <w:t xml:space="preserve">national </w:t>
      </w:r>
      <w:r w:rsidR="00722AB7" w:rsidRPr="0061024A">
        <w:rPr>
          <w:rFonts w:ascii="Verdana" w:hAnsi="Verdana"/>
          <w:i w:val="0"/>
          <w:iCs w:val="0"/>
          <w:sz w:val="22"/>
          <w:szCs w:val="22"/>
        </w:rPr>
        <w:t xml:space="preserve">moratorium on sea cucumber fishing </w:t>
      </w:r>
      <w:r w:rsidR="00003CD4" w:rsidRPr="0061024A">
        <w:rPr>
          <w:rFonts w:ascii="Verdana" w:hAnsi="Verdana"/>
          <w:i w:val="0"/>
          <w:iCs w:val="0"/>
          <w:sz w:val="22"/>
          <w:szCs w:val="22"/>
        </w:rPr>
        <w:t xml:space="preserve">which was implemented </w:t>
      </w:r>
      <w:r w:rsidR="00722AB7" w:rsidRPr="0061024A">
        <w:rPr>
          <w:rFonts w:ascii="Verdana" w:hAnsi="Verdana"/>
          <w:i w:val="0"/>
          <w:iCs w:val="0"/>
          <w:sz w:val="22"/>
          <w:szCs w:val="22"/>
        </w:rPr>
        <w:t xml:space="preserve">in 2017, by the Belize Fisheries Department. This moratorium was lifted after four years in </w:t>
      </w:r>
      <w:r w:rsidR="00CF0D66" w:rsidRPr="0061024A">
        <w:rPr>
          <w:rFonts w:ascii="Verdana" w:hAnsi="Verdana"/>
          <w:i w:val="0"/>
          <w:iCs w:val="0"/>
          <w:sz w:val="22"/>
          <w:szCs w:val="22"/>
        </w:rPr>
        <w:t xml:space="preserve">May </w:t>
      </w:r>
      <w:r w:rsidR="00722AB7" w:rsidRPr="0061024A">
        <w:rPr>
          <w:rFonts w:ascii="Verdana" w:hAnsi="Verdana"/>
          <w:i w:val="0"/>
          <w:iCs w:val="0"/>
          <w:sz w:val="22"/>
          <w:szCs w:val="22"/>
        </w:rPr>
        <w:t>202</w:t>
      </w:r>
      <w:r w:rsidR="00CF0D66" w:rsidRPr="0061024A">
        <w:rPr>
          <w:rFonts w:ascii="Verdana" w:hAnsi="Verdana"/>
          <w:i w:val="0"/>
          <w:iCs w:val="0"/>
          <w:sz w:val="22"/>
          <w:szCs w:val="22"/>
        </w:rPr>
        <w:t xml:space="preserve">0, </w:t>
      </w:r>
      <w:r w:rsidR="00F7562A">
        <w:rPr>
          <w:rFonts w:ascii="Verdana" w:hAnsi="Verdana"/>
          <w:i w:val="0"/>
          <w:iCs w:val="0"/>
          <w:sz w:val="22"/>
          <w:szCs w:val="22"/>
        </w:rPr>
        <w:t xml:space="preserve">with a fishing season </w:t>
      </w:r>
      <w:r w:rsidR="00CF0D66" w:rsidRPr="0061024A">
        <w:rPr>
          <w:rFonts w:ascii="Verdana" w:hAnsi="Verdana"/>
          <w:i w:val="0"/>
          <w:iCs w:val="0"/>
          <w:sz w:val="22"/>
          <w:szCs w:val="22"/>
        </w:rPr>
        <w:t>from May 11 to June 30,</w:t>
      </w:r>
      <w:r w:rsidR="00722AB7" w:rsidRPr="0061024A">
        <w:rPr>
          <w:rFonts w:ascii="Verdana" w:hAnsi="Verdana"/>
          <w:i w:val="0"/>
          <w:iCs w:val="0"/>
          <w:sz w:val="22"/>
          <w:szCs w:val="22"/>
        </w:rPr>
        <w:t xml:space="preserve"> with the expectation that population numbers had rebound. </w:t>
      </w:r>
      <w:r w:rsidR="00CF0D66" w:rsidRPr="0061024A">
        <w:rPr>
          <w:rFonts w:ascii="Verdana" w:hAnsi="Verdana"/>
          <w:i w:val="0"/>
          <w:iCs w:val="0"/>
          <w:sz w:val="22"/>
          <w:szCs w:val="22"/>
        </w:rPr>
        <w:t>The season was open again this year for a longer period, from March 15 to June 30, 2021 (press release Belize Fisheries Department, 2021)</w:t>
      </w:r>
      <w:r w:rsidR="00EE6F80" w:rsidRPr="0061024A">
        <w:rPr>
          <w:rFonts w:ascii="Verdana" w:hAnsi="Verdana"/>
          <w:i w:val="0"/>
          <w:iCs w:val="0"/>
          <w:sz w:val="22"/>
          <w:szCs w:val="22"/>
        </w:rPr>
        <w:t>. Sea cucumbers are currently regulated through a closed season, minimum size and minimum weight.</w:t>
      </w:r>
    </w:p>
    <w:p w14:paraId="54E67DB5" w14:textId="3C3A8AC5" w:rsidR="00591983" w:rsidRPr="0061024A" w:rsidRDefault="00722AB7" w:rsidP="00591983">
      <w:pPr>
        <w:spacing w:line="276" w:lineRule="auto"/>
        <w:jc w:val="both"/>
        <w:rPr>
          <w:rFonts w:ascii="Verdana" w:hAnsi="Verdana"/>
          <w:i w:val="0"/>
          <w:iCs w:val="0"/>
          <w:sz w:val="22"/>
          <w:szCs w:val="22"/>
        </w:rPr>
      </w:pPr>
      <w:r w:rsidRPr="0061024A">
        <w:rPr>
          <w:rFonts w:ascii="Verdana" w:hAnsi="Verdana"/>
          <w:i w:val="0"/>
          <w:iCs w:val="0"/>
          <w:sz w:val="22"/>
          <w:szCs w:val="22"/>
        </w:rPr>
        <w:t xml:space="preserve">The PHMR </w:t>
      </w:r>
      <w:r w:rsidR="00591983" w:rsidRPr="0061024A">
        <w:rPr>
          <w:rFonts w:ascii="Verdana" w:hAnsi="Verdana"/>
          <w:i w:val="0"/>
          <w:iCs w:val="0"/>
          <w:sz w:val="22"/>
          <w:szCs w:val="22"/>
        </w:rPr>
        <w:t>was established in 2000 with an area of 40,468 Ha and co-managed by</w:t>
      </w:r>
      <w:r w:rsidRPr="0061024A">
        <w:rPr>
          <w:rFonts w:ascii="Verdana" w:hAnsi="Verdana"/>
          <w:i w:val="0"/>
          <w:iCs w:val="0"/>
          <w:sz w:val="22"/>
          <w:szCs w:val="22"/>
        </w:rPr>
        <w:t xml:space="preserve"> TIDE</w:t>
      </w:r>
      <w:r w:rsidR="00591983" w:rsidRPr="0061024A">
        <w:rPr>
          <w:rFonts w:ascii="Verdana" w:hAnsi="Verdana"/>
          <w:i w:val="0"/>
          <w:iCs w:val="0"/>
          <w:sz w:val="22"/>
          <w:szCs w:val="22"/>
        </w:rPr>
        <w:t xml:space="preserve">. The PHMR includes a range of ecosystems from coastal wetlands to mid lagoonal reefs (a unique reef type along the Belize Barrier Reef). It also contains extensive seagrass beds and surrounds over 100 mangrove </w:t>
      </w:r>
      <w:proofErr w:type="spellStart"/>
      <w:r w:rsidR="00591983" w:rsidRPr="0061024A">
        <w:rPr>
          <w:rFonts w:ascii="Verdana" w:hAnsi="Verdana"/>
          <w:i w:val="0"/>
          <w:iCs w:val="0"/>
          <w:sz w:val="22"/>
          <w:szCs w:val="22"/>
        </w:rPr>
        <w:t>cayes</w:t>
      </w:r>
      <w:proofErr w:type="spellEnd"/>
      <w:r w:rsidR="00591983" w:rsidRPr="0061024A">
        <w:rPr>
          <w:rFonts w:ascii="Verdana" w:hAnsi="Verdana"/>
          <w:i w:val="0"/>
          <w:iCs w:val="0"/>
          <w:sz w:val="22"/>
          <w:szCs w:val="22"/>
        </w:rPr>
        <w:t xml:space="preserve"> (</w:t>
      </w:r>
      <w:proofErr w:type="spellStart"/>
      <w:r w:rsidR="00591983" w:rsidRPr="0061024A">
        <w:rPr>
          <w:rFonts w:ascii="Verdana" w:hAnsi="Verdana"/>
          <w:i w:val="0"/>
          <w:iCs w:val="0"/>
          <w:sz w:val="22"/>
          <w:szCs w:val="22"/>
        </w:rPr>
        <w:t>Wildtracks</w:t>
      </w:r>
      <w:proofErr w:type="spellEnd"/>
      <w:r w:rsidR="00591983" w:rsidRPr="0061024A">
        <w:rPr>
          <w:rFonts w:ascii="Verdana" w:hAnsi="Verdana"/>
          <w:i w:val="0"/>
          <w:iCs w:val="0"/>
          <w:sz w:val="22"/>
          <w:szCs w:val="22"/>
        </w:rPr>
        <w:t xml:space="preserve"> 2017). It supports important artisanal commercial fisheries for spiny lobster and queen conch</w:t>
      </w:r>
      <w:r w:rsidR="00A17D34" w:rsidRPr="0061024A">
        <w:rPr>
          <w:rFonts w:ascii="Verdana" w:hAnsi="Verdana"/>
          <w:i w:val="0"/>
          <w:iCs w:val="0"/>
          <w:sz w:val="22"/>
          <w:szCs w:val="22"/>
        </w:rPr>
        <w:t xml:space="preserve"> and </w:t>
      </w:r>
      <w:r w:rsidR="00591983" w:rsidRPr="0061024A">
        <w:rPr>
          <w:rFonts w:ascii="Verdana" w:hAnsi="Verdana"/>
          <w:i w:val="0"/>
          <w:iCs w:val="0"/>
          <w:sz w:val="22"/>
          <w:szCs w:val="22"/>
        </w:rPr>
        <w:t xml:space="preserve">serves as an important buffer between the southern mainland and the main barrier reef. </w:t>
      </w:r>
    </w:p>
    <w:p w14:paraId="5BEA0561" w14:textId="6B069B01" w:rsidR="00591983" w:rsidRPr="0061024A" w:rsidRDefault="00591983" w:rsidP="00591983">
      <w:pPr>
        <w:spacing w:line="276" w:lineRule="auto"/>
        <w:jc w:val="both"/>
        <w:rPr>
          <w:rFonts w:ascii="Verdana" w:hAnsi="Verdana"/>
          <w:i w:val="0"/>
          <w:iCs w:val="0"/>
          <w:sz w:val="22"/>
          <w:szCs w:val="22"/>
        </w:rPr>
      </w:pPr>
      <w:r w:rsidRPr="0061024A">
        <w:rPr>
          <w:rFonts w:ascii="Verdana" w:hAnsi="Verdana"/>
          <w:i w:val="0"/>
          <w:iCs w:val="0"/>
          <w:sz w:val="22"/>
          <w:szCs w:val="22"/>
        </w:rPr>
        <w:t xml:space="preserve">The </w:t>
      </w:r>
      <w:r w:rsidR="00210BED" w:rsidRPr="0061024A">
        <w:rPr>
          <w:rFonts w:ascii="Verdana" w:hAnsi="Verdana"/>
          <w:i w:val="0"/>
          <w:iCs w:val="0"/>
          <w:sz w:val="22"/>
          <w:szCs w:val="22"/>
        </w:rPr>
        <w:t>main purpose of the</w:t>
      </w:r>
      <w:r w:rsidRPr="0061024A">
        <w:rPr>
          <w:rFonts w:ascii="Verdana" w:hAnsi="Verdana"/>
          <w:i w:val="0"/>
          <w:iCs w:val="0"/>
          <w:sz w:val="22"/>
          <w:szCs w:val="22"/>
        </w:rPr>
        <w:t xml:space="preserve"> </w:t>
      </w:r>
      <w:r w:rsidR="00A17D34" w:rsidRPr="0061024A">
        <w:rPr>
          <w:rFonts w:ascii="Verdana" w:hAnsi="Verdana"/>
          <w:i w:val="0"/>
          <w:iCs w:val="0"/>
          <w:sz w:val="22"/>
          <w:szCs w:val="22"/>
        </w:rPr>
        <w:t>PHMR</w:t>
      </w:r>
      <w:r w:rsidRPr="0061024A">
        <w:rPr>
          <w:rFonts w:ascii="Verdana" w:hAnsi="Verdana"/>
          <w:i w:val="0"/>
          <w:iCs w:val="0"/>
          <w:sz w:val="22"/>
          <w:szCs w:val="22"/>
        </w:rPr>
        <w:t xml:space="preserve"> is fisheries management with the majority of this marine reserve </w:t>
      </w:r>
      <w:r w:rsidR="00A17D34" w:rsidRPr="0061024A">
        <w:rPr>
          <w:rFonts w:ascii="Verdana" w:hAnsi="Verdana"/>
          <w:i w:val="0"/>
          <w:iCs w:val="0"/>
          <w:sz w:val="22"/>
          <w:szCs w:val="22"/>
        </w:rPr>
        <w:t xml:space="preserve">as </w:t>
      </w:r>
      <w:r w:rsidRPr="0061024A">
        <w:rPr>
          <w:rFonts w:ascii="Verdana" w:hAnsi="Verdana"/>
          <w:i w:val="0"/>
          <w:iCs w:val="0"/>
          <w:sz w:val="22"/>
          <w:szCs w:val="22"/>
        </w:rPr>
        <w:t>a general use zone (95%) open to fishing. Four</w:t>
      </w:r>
      <w:r w:rsidR="00E5445E" w:rsidRPr="0061024A">
        <w:rPr>
          <w:rFonts w:ascii="Verdana" w:hAnsi="Verdana"/>
          <w:i w:val="0"/>
          <w:iCs w:val="0"/>
          <w:sz w:val="22"/>
          <w:szCs w:val="22"/>
        </w:rPr>
        <w:t xml:space="preserve"> </w:t>
      </w:r>
      <w:r w:rsidRPr="0061024A">
        <w:rPr>
          <w:rFonts w:ascii="Verdana" w:hAnsi="Verdana"/>
          <w:i w:val="0"/>
          <w:iCs w:val="0"/>
          <w:sz w:val="22"/>
          <w:szCs w:val="22"/>
        </w:rPr>
        <w:t>replenishment or no-take zones are designated (4%</w:t>
      </w:r>
      <w:r w:rsidR="00210BED" w:rsidRPr="0061024A">
        <w:rPr>
          <w:rFonts w:ascii="Verdana" w:hAnsi="Verdana"/>
          <w:i w:val="0"/>
          <w:iCs w:val="0"/>
          <w:sz w:val="22"/>
          <w:szCs w:val="22"/>
        </w:rPr>
        <w:t xml:space="preserve"> total</w:t>
      </w:r>
      <w:r w:rsidRPr="0061024A">
        <w:rPr>
          <w:rFonts w:ascii="Verdana" w:hAnsi="Verdana"/>
          <w:i w:val="0"/>
          <w:iCs w:val="0"/>
          <w:sz w:val="22"/>
          <w:szCs w:val="22"/>
        </w:rPr>
        <w:t xml:space="preserve">) around West, East and South Snake </w:t>
      </w:r>
      <w:proofErr w:type="spellStart"/>
      <w:r w:rsidRPr="0061024A">
        <w:rPr>
          <w:rFonts w:ascii="Verdana" w:hAnsi="Verdana"/>
          <w:i w:val="0"/>
          <w:iCs w:val="0"/>
          <w:sz w:val="22"/>
          <w:szCs w:val="22"/>
        </w:rPr>
        <w:t>Cayes</w:t>
      </w:r>
      <w:proofErr w:type="spellEnd"/>
      <w:r w:rsidRPr="0061024A">
        <w:rPr>
          <w:rFonts w:ascii="Verdana" w:hAnsi="Verdana"/>
          <w:i w:val="0"/>
          <w:iCs w:val="0"/>
          <w:sz w:val="22"/>
          <w:szCs w:val="22"/>
        </w:rPr>
        <w:t xml:space="preserve"> and West Cane </w:t>
      </w:r>
      <w:proofErr w:type="spellStart"/>
      <w:r w:rsidRPr="0061024A">
        <w:rPr>
          <w:rFonts w:ascii="Verdana" w:hAnsi="Verdana"/>
          <w:i w:val="0"/>
          <w:iCs w:val="0"/>
          <w:sz w:val="22"/>
          <w:szCs w:val="22"/>
        </w:rPr>
        <w:t>Cayes</w:t>
      </w:r>
      <w:proofErr w:type="spellEnd"/>
      <w:r w:rsidRPr="0061024A">
        <w:rPr>
          <w:rFonts w:ascii="Verdana" w:hAnsi="Verdana"/>
          <w:i w:val="0"/>
          <w:iCs w:val="0"/>
          <w:sz w:val="22"/>
          <w:szCs w:val="22"/>
        </w:rPr>
        <w:t xml:space="preserve">, where non-extractive recreational activities are allowed. There is a preservation zone (1%), 0.8 km radius around Middle Snake </w:t>
      </w:r>
      <w:proofErr w:type="spellStart"/>
      <w:r w:rsidRPr="0061024A">
        <w:rPr>
          <w:rFonts w:ascii="Verdana" w:hAnsi="Verdana"/>
          <w:i w:val="0"/>
          <w:iCs w:val="0"/>
          <w:sz w:val="22"/>
          <w:szCs w:val="22"/>
        </w:rPr>
        <w:t>Cayes</w:t>
      </w:r>
      <w:proofErr w:type="spellEnd"/>
      <w:r w:rsidRPr="0061024A">
        <w:rPr>
          <w:rFonts w:ascii="Verdana" w:hAnsi="Verdana"/>
          <w:i w:val="0"/>
          <w:iCs w:val="0"/>
          <w:sz w:val="22"/>
          <w:szCs w:val="22"/>
        </w:rPr>
        <w:t>, where only research activities are allowed (Figure 1) (</w:t>
      </w:r>
      <w:proofErr w:type="spellStart"/>
      <w:r w:rsidRPr="0061024A">
        <w:rPr>
          <w:rFonts w:ascii="Verdana" w:hAnsi="Verdana"/>
          <w:i w:val="0"/>
          <w:iCs w:val="0"/>
          <w:sz w:val="22"/>
          <w:szCs w:val="22"/>
        </w:rPr>
        <w:t>Wildtracks</w:t>
      </w:r>
      <w:proofErr w:type="spellEnd"/>
      <w:r w:rsidRPr="0061024A">
        <w:rPr>
          <w:rFonts w:ascii="Verdana" w:hAnsi="Verdana"/>
          <w:i w:val="0"/>
          <w:iCs w:val="0"/>
          <w:sz w:val="22"/>
          <w:szCs w:val="22"/>
        </w:rPr>
        <w:t xml:space="preserve"> 2017). </w:t>
      </w:r>
    </w:p>
    <w:p w14:paraId="650FC7DE" w14:textId="19B734DF" w:rsidR="00E5445E" w:rsidRPr="0031288E" w:rsidRDefault="00A17D34" w:rsidP="00591983">
      <w:pPr>
        <w:spacing w:line="276" w:lineRule="auto"/>
        <w:jc w:val="both"/>
        <w:rPr>
          <w:rFonts w:ascii="Verdana" w:hAnsi="Verdana"/>
        </w:rPr>
      </w:pPr>
      <w:r w:rsidRPr="0061024A">
        <w:rPr>
          <w:rFonts w:ascii="Verdana" w:hAnsi="Verdana"/>
          <w:i w:val="0"/>
          <w:iCs w:val="0"/>
          <w:sz w:val="22"/>
          <w:szCs w:val="22"/>
        </w:rPr>
        <w:t xml:space="preserve">This report presents data collected </w:t>
      </w:r>
      <w:r w:rsidR="00471BBD" w:rsidRPr="0061024A">
        <w:rPr>
          <w:rFonts w:ascii="Verdana" w:hAnsi="Verdana"/>
          <w:i w:val="0"/>
          <w:iCs w:val="0"/>
          <w:sz w:val="22"/>
          <w:szCs w:val="22"/>
        </w:rPr>
        <w:t>over two years, 2020-</w:t>
      </w:r>
      <w:r w:rsidRPr="0061024A">
        <w:rPr>
          <w:rFonts w:ascii="Verdana" w:hAnsi="Verdana"/>
          <w:i w:val="0"/>
          <w:iCs w:val="0"/>
          <w:sz w:val="22"/>
          <w:szCs w:val="22"/>
        </w:rPr>
        <w:t>2021</w:t>
      </w:r>
      <w:r w:rsidR="00471BBD" w:rsidRPr="0061024A">
        <w:rPr>
          <w:rFonts w:ascii="Verdana" w:hAnsi="Verdana"/>
          <w:i w:val="0"/>
          <w:iCs w:val="0"/>
          <w:sz w:val="22"/>
          <w:szCs w:val="22"/>
        </w:rPr>
        <w:t>,</w:t>
      </w:r>
      <w:r w:rsidRPr="0061024A">
        <w:rPr>
          <w:rFonts w:ascii="Verdana" w:hAnsi="Verdana"/>
          <w:i w:val="0"/>
          <w:iCs w:val="0"/>
          <w:sz w:val="22"/>
          <w:szCs w:val="22"/>
        </w:rPr>
        <w:t xml:space="preserve"> towards evaluating the </w:t>
      </w:r>
      <w:r w:rsidR="00591983" w:rsidRPr="0061024A">
        <w:rPr>
          <w:rFonts w:ascii="Verdana" w:hAnsi="Verdana"/>
          <w:i w:val="0"/>
          <w:iCs w:val="0"/>
          <w:sz w:val="22"/>
          <w:szCs w:val="22"/>
        </w:rPr>
        <w:t>management goa</w:t>
      </w:r>
      <w:r w:rsidRPr="0061024A">
        <w:rPr>
          <w:rFonts w:ascii="Verdana" w:hAnsi="Verdana"/>
          <w:i w:val="0"/>
          <w:iCs w:val="0"/>
          <w:sz w:val="22"/>
          <w:szCs w:val="22"/>
        </w:rPr>
        <w:t xml:space="preserve">l “to </w:t>
      </w:r>
      <w:r w:rsidR="00591983" w:rsidRPr="0061024A">
        <w:rPr>
          <w:rFonts w:ascii="Verdana" w:hAnsi="Verdana"/>
          <w:i w:val="0"/>
          <w:iCs w:val="0"/>
          <w:sz w:val="22"/>
          <w:szCs w:val="22"/>
        </w:rPr>
        <w:t>return the abundance of commercial fishing species to sustainable levels by reducing pressure</w:t>
      </w:r>
      <w:r w:rsidRPr="0061024A">
        <w:rPr>
          <w:rFonts w:ascii="Verdana" w:hAnsi="Verdana"/>
          <w:i w:val="0"/>
          <w:iCs w:val="0"/>
          <w:sz w:val="22"/>
          <w:szCs w:val="22"/>
        </w:rPr>
        <w:t>”</w:t>
      </w:r>
      <w:r w:rsidR="00591983" w:rsidRPr="0061024A">
        <w:rPr>
          <w:rFonts w:ascii="Verdana" w:hAnsi="Verdana"/>
          <w:i w:val="0"/>
          <w:iCs w:val="0"/>
          <w:sz w:val="22"/>
          <w:szCs w:val="22"/>
        </w:rPr>
        <w:t xml:space="preserve">. The primary conservation target </w:t>
      </w:r>
      <w:r w:rsidRPr="0061024A">
        <w:rPr>
          <w:rFonts w:ascii="Verdana" w:hAnsi="Verdana"/>
          <w:i w:val="0"/>
          <w:iCs w:val="0"/>
          <w:sz w:val="22"/>
          <w:szCs w:val="22"/>
        </w:rPr>
        <w:t>outlined in the current Management Plan for the PHMR,</w:t>
      </w:r>
      <w:r w:rsidR="00591983" w:rsidRPr="0061024A">
        <w:rPr>
          <w:rFonts w:ascii="Verdana" w:hAnsi="Verdana"/>
          <w:i w:val="0"/>
          <w:iCs w:val="0"/>
          <w:sz w:val="22"/>
          <w:szCs w:val="22"/>
        </w:rPr>
        <w:t xml:space="preserve"> is that by 2020</w:t>
      </w:r>
      <w:r w:rsidRPr="0061024A">
        <w:rPr>
          <w:rFonts w:ascii="Verdana" w:hAnsi="Verdana"/>
          <w:i w:val="0"/>
          <w:iCs w:val="0"/>
          <w:sz w:val="22"/>
          <w:szCs w:val="22"/>
        </w:rPr>
        <w:t xml:space="preserve"> the</w:t>
      </w:r>
      <w:r w:rsidR="00591983" w:rsidRPr="0061024A">
        <w:rPr>
          <w:rFonts w:ascii="Verdana" w:hAnsi="Verdana"/>
          <w:i w:val="0"/>
          <w:iCs w:val="0"/>
          <w:sz w:val="22"/>
          <w:szCs w:val="22"/>
        </w:rPr>
        <w:t xml:space="preserve"> Fisheries Department and TIDE will identify and improve at least three responsible and effective fishing techniques in collaboration with PHMR fishers. </w:t>
      </w:r>
      <w:r w:rsidRPr="0061024A">
        <w:rPr>
          <w:rFonts w:ascii="Verdana" w:hAnsi="Verdana"/>
          <w:i w:val="0"/>
          <w:iCs w:val="0"/>
          <w:sz w:val="22"/>
          <w:szCs w:val="22"/>
        </w:rPr>
        <w:t xml:space="preserve">The data from this report is intended </w:t>
      </w:r>
      <w:r w:rsidRPr="0061024A">
        <w:rPr>
          <w:rFonts w:ascii="Verdana" w:hAnsi="Verdana"/>
          <w:i w:val="0"/>
          <w:iCs w:val="0"/>
          <w:sz w:val="22"/>
          <w:szCs w:val="22"/>
        </w:rPr>
        <w:lastRenderedPageBreak/>
        <w:t xml:space="preserve">to inform </w:t>
      </w:r>
      <w:r w:rsidR="00471BBD" w:rsidRPr="0061024A">
        <w:rPr>
          <w:rFonts w:ascii="Verdana" w:hAnsi="Verdana"/>
          <w:i w:val="0"/>
          <w:iCs w:val="0"/>
          <w:sz w:val="22"/>
          <w:szCs w:val="22"/>
        </w:rPr>
        <w:t>the status of the population of donkey dung sea cucumbers,</w:t>
      </w:r>
      <w:r w:rsidR="008C352F" w:rsidRPr="0061024A">
        <w:rPr>
          <w:rFonts w:ascii="Verdana" w:hAnsi="Verdana"/>
          <w:i w:val="0"/>
          <w:iCs w:val="0"/>
          <w:sz w:val="22"/>
          <w:szCs w:val="22"/>
        </w:rPr>
        <w:t xml:space="preserve"> that has been closed to fish</w:t>
      </w:r>
      <w:r w:rsidR="008C352F" w:rsidRPr="0061024A">
        <w:rPr>
          <w:rFonts w:ascii="Verdana" w:hAnsi="Verdana"/>
          <w:i w:val="0"/>
          <w:iCs w:val="0"/>
          <w:noProof/>
          <w:sz w:val="22"/>
          <w:szCs w:val="22"/>
        </w:rPr>
        <w:t>ing since 2017.</w:t>
      </w:r>
      <w:r w:rsidR="00824522" w:rsidRPr="0031288E">
        <w:rPr>
          <w:rFonts w:ascii="Verdana" w:hAnsi="Verdana"/>
          <w:i w:val="0"/>
          <w:iCs w:val="0"/>
          <w:noProof/>
        </w:rPr>
        <w:tab/>
      </w:r>
      <w:r w:rsidR="00824522" w:rsidRPr="0031288E">
        <w:rPr>
          <w:rFonts w:ascii="Verdana" w:hAnsi="Verdana"/>
          <w:noProof/>
        </w:rPr>
        <w:tab/>
      </w:r>
      <w:r w:rsidR="00824522" w:rsidRPr="0031288E">
        <w:rPr>
          <w:rFonts w:ascii="Verdana" w:hAnsi="Verdana"/>
          <w:noProof/>
        </w:rPr>
        <w:tab/>
      </w:r>
    </w:p>
    <w:p w14:paraId="21F5F7FF" w14:textId="726DA1B2" w:rsidR="00824522" w:rsidRPr="0031288E" w:rsidRDefault="00025214" w:rsidP="001E258D">
      <w:pPr>
        <w:spacing w:line="276" w:lineRule="auto"/>
        <w:jc w:val="both"/>
        <w:rPr>
          <w:rFonts w:ascii="Verdana" w:hAnsi="Verdana" w:cs="Bangla MN"/>
          <w:b/>
          <w:bCs/>
          <w:sz w:val="28"/>
          <w:szCs w:val="28"/>
        </w:rPr>
      </w:pPr>
      <w:r w:rsidRPr="0031288E">
        <w:rPr>
          <w:rFonts w:ascii="Verdana" w:hAnsi="Verdana"/>
          <w:noProof/>
        </w:rPr>
        <w:drawing>
          <wp:anchor distT="0" distB="0" distL="114300" distR="114300" simplePos="0" relativeHeight="251678720" behindDoc="0" locked="0" layoutInCell="1" allowOverlap="1" wp14:anchorId="2D31E144" wp14:editId="628449DB">
            <wp:simplePos x="0" y="0"/>
            <wp:positionH relativeFrom="column">
              <wp:posOffset>10095</wp:posOffset>
            </wp:positionH>
            <wp:positionV relativeFrom="paragraph">
              <wp:posOffset>31115</wp:posOffset>
            </wp:positionV>
            <wp:extent cx="3447415" cy="2667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47415" cy="2667635"/>
                    </a:xfrm>
                    <a:prstGeom prst="rect">
                      <a:avLst/>
                    </a:prstGeom>
                  </pic:spPr>
                </pic:pic>
              </a:graphicData>
            </a:graphic>
            <wp14:sizeRelH relativeFrom="page">
              <wp14:pctWidth>0</wp14:pctWidth>
            </wp14:sizeRelH>
            <wp14:sizeRelV relativeFrom="page">
              <wp14:pctHeight>0</wp14:pctHeight>
            </wp14:sizeRelV>
          </wp:anchor>
        </w:drawing>
      </w:r>
    </w:p>
    <w:p w14:paraId="16E86E26" w14:textId="109CD9EC" w:rsidR="00824522" w:rsidRPr="0031288E" w:rsidRDefault="00824522" w:rsidP="001E258D">
      <w:pPr>
        <w:spacing w:line="276" w:lineRule="auto"/>
        <w:jc w:val="both"/>
        <w:rPr>
          <w:rFonts w:ascii="Verdana" w:hAnsi="Verdana" w:cs="Bangla MN"/>
          <w:b/>
          <w:bCs/>
          <w:sz w:val="28"/>
          <w:szCs w:val="28"/>
        </w:rPr>
      </w:pPr>
    </w:p>
    <w:p w14:paraId="5447A184" w14:textId="77777777" w:rsidR="00824522" w:rsidRPr="0031288E" w:rsidRDefault="00824522" w:rsidP="001E258D">
      <w:pPr>
        <w:spacing w:line="276" w:lineRule="auto"/>
        <w:jc w:val="both"/>
        <w:rPr>
          <w:rFonts w:ascii="Verdana" w:hAnsi="Verdana" w:cs="Bangla MN"/>
          <w:b/>
          <w:bCs/>
          <w:sz w:val="28"/>
          <w:szCs w:val="28"/>
        </w:rPr>
      </w:pPr>
    </w:p>
    <w:p w14:paraId="7C819258" w14:textId="7384D9D5" w:rsidR="00824522" w:rsidRPr="0031288E" w:rsidRDefault="00824522" w:rsidP="001E258D">
      <w:pPr>
        <w:spacing w:line="276" w:lineRule="auto"/>
        <w:jc w:val="both"/>
        <w:rPr>
          <w:rFonts w:ascii="Verdana" w:hAnsi="Verdana" w:cs="Bangla MN"/>
          <w:b/>
          <w:bCs/>
          <w:sz w:val="28"/>
          <w:szCs w:val="28"/>
        </w:rPr>
      </w:pPr>
    </w:p>
    <w:p w14:paraId="2E22C868" w14:textId="045E42B9" w:rsidR="00824522" w:rsidRPr="0031288E" w:rsidRDefault="00025214" w:rsidP="00025214">
      <w:pPr>
        <w:spacing w:line="276" w:lineRule="auto"/>
        <w:jc w:val="both"/>
        <w:rPr>
          <w:rFonts w:ascii="Verdana" w:hAnsi="Verdana" w:cs="Bangla MN"/>
          <w:b/>
          <w:bCs/>
          <w:sz w:val="18"/>
          <w:szCs w:val="18"/>
        </w:rPr>
      </w:pPr>
      <w:r w:rsidRPr="0031288E">
        <w:rPr>
          <w:rFonts w:ascii="Verdana" w:hAnsi="Verdana"/>
          <w:b/>
          <w:bCs/>
          <w:sz w:val="18"/>
          <w:szCs w:val="18"/>
        </w:rPr>
        <w:t xml:space="preserve">Figure </w:t>
      </w:r>
      <w:r w:rsidRPr="0031288E">
        <w:rPr>
          <w:rFonts w:ascii="Verdana" w:hAnsi="Verdana"/>
          <w:b/>
          <w:bCs/>
          <w:sz w:val="18"/>
          <w:szCs w:val="18"/>
        </w:rPr>
        <w:fldChar w:fldCharType="begin"/>
      </w:r>
      <w:r w:rsidRPr="0031288E">
        <w:rPr>
          <w:rFonts w:ascii="Verdana" w:hAnsi="Verdana"/>
          <w:b/>
          <w:bCs/>
          <w:sz w:val="18"/>
          <w:szCs w:val="18"/>
        </w:rPr>
        <w:instrText xml:space="preserve"> SEQ Figure \* ARABIC </w:instrText>
      </w:r>
      <w:r w:rsidRPr="0031288E">
        <w:rPr>
          <w:rFonts w:ascii="Verdana" w:hAnsi="Verdana"/>
          <w:b/>
          <w:bCs/>
          <w:sz w:val="18"/>
          <w:szCs w:val="18"/>
        </w:rPr>
        <w:fldChar w:fldCharType="separate"/>
      </w:r>
      <w:r w:rsidRPr="0031288E">
        <w:rPr>
          <w:rFonts w:ascii="Verdana" w:hAnsi="Verdana"/>
          <w:b/>
          <w:bCs/>
          <w:noProof/>
          <w:sz w:val="18"/>
          <w:szCs w:val="18"/>
        </w:rPr>
        <w:t>1</w:t>
      </w:r>
      <w:r w:rsidRPr="0031288E">
        <w:rPr>
          <w:rFonts w:ascii="Verdana" w:hAnsi="Verdana"/>
          <w:b/>
          <w:bCs/>
          <w:noProof/>
          <w:sz w:val="18"/>
          <w:szCs w:val="18"/>
        </w:rPr>
        <w:fldChar w:fldCharType="end"/>
      </w:r>
      <w:r w:rsidRPr="0031288E">
        <w:rPr>
          <w:rFonts w:ascii="Verdana" w:hAnsi="Verdana"/>
          <w:b/>
          <w:bCs/>
          <w:sz w:val="18"/>
          <w:szCs w:val="18"/>
        </w:rPr>
        <w:tab/>
        <w:t>PHMR Zones, from the PHMR Management Plan 2017-2021 (</w:t>
      </w:r>
      <w:proofErr w:type="spellStart"/>
      <w:r w:rsidRPr="0031288E">
        <w:rPr>
          <w:rFonts w:ascii="Verdana" w:hAnsi="Verdana"/>
          <w:b/>
          <w:bCs/>
          <w:sz w:val="18"/>
          <w:szCs w:val="18"/>
        </w:rPr>
        <w:t>Wildtracks</w:t>
      </w:r>
      <w:proofErr w:type="spellEnd"/>
      <w:r w:rsidRPr="0031288E">
        <w:rPr>
          <w:rFonts w:ascii="Verdana" w:hAnsi="Verdana"/>
          <w:b/>
          <w:bCs/>
          <w:sz w:val="18"/>
          <w:szCs w:val="18"/>
        </w:rPr>
        <w:t xml:space="preserve"> 2017)</w:t>
      </w:r>
    </w:p>
    <w:p w14:paraId="4A2C747B" w14:textId="19E1ADDF" w:rsidR="00824522" w:rsidRPr="0031288E" w:rsidRDefault="00824522" w:rsidP="001E258D">
      <w:pPr>
        <w:spacing w:line="276" w:lineRule="auto"/>
        <w:jc w:val="both"/>
        <w:rPr>
          <w:rFonts w:ascii="Verdana" w:hAnsi="Verdana" w:cs="Bangla MN"/>
          <w:b/>
          <w:bCs/>
          <w:sz w:val="18"/>
          <w:szCs w:val="18"/>
        </w:rPr>
      </w:pPr>
    </w:p>
    <w:p w14:paraId="32A55A47" w14:textId="38385BB9" w:rsidR="00824522" w:rsidRPr="0031288E" w:rsidRDefault="00824522" w:rsidP="001E258D">
      <w:pPr>
        <w:spacing w:line="276" w:lineRule="auto"/>
        <w:jc w:val="both"/>
        <w:rPr>
          <w:rFonts w:ascii="Verdana" w:hAnsi="Verdana" w:cs="Bangla MN"/>
          <w:b/>
          <w:bCs/>
          <w:sz w:val="28"/>
          <w:szCs w:val="28"/>
        </w:rPr>
      </w:pPr>
    </w:p>
    <w:p w14:paraId="11FBC157" w14:textId="0FD7EDC7" w:rsidR="00A55C77" w:rsidRDefault="00A55C77" w:rsidP="00824522">
      <w:pPr>
        <w:pStyle w:val="Caption"/>
        <w:rPr>
          <w:rFonts w:ascii="Verdana" w:hAnsi="Verdana"/>
        </w:rPr>
      </w:pPr>
    </w:p>
    <w:p w14:paraId="7513B1CC" w14:textId="77777777" w:rsidR="009E466F" w:rsidRDefault="009E466F" w:rsidP="009E466F">
      <w:pPr>
        <w:spacing w:line="276" w:lineRule="auto"/>
        <w:jc w:val="both"/>
        <w:rPr>
          <w:rFonts w:ascii="Verdana" w:hAnsi="Verdana" w:cs="Bangla MN"/>
          <w:b/>
          <w:bCs/>
          <w:sz w:val="28"/>
          <w:szCs w:val="28"/>
        </w:rPr>
      </w:pPr>
      <w:r w:rsidRPr="0031288E">
        <w:rPr>
          <w:rFonts w:ascii="Verdana" w:hAnsi="Verdana" w:cs="Bangla MN"/>
          <w:b/>
          <w:bCs/>
          <w:sz w:val="28"/>
          <w:szCs w:val="28"/>
        </w:rPr>
        <w:t>Methodology</w:t>
      </w:r>
    </w:p>
    <w:p w14:paraId="0F98E1F0" w14:textId="65E1B6FA" w:rsidR="009E466F" w:rsidRPr="0061024A" w:rsidRDefault="009E466F" w:rsidP="009E466F">
      <w:pPr>
        <w:spacing w:line="276" w:lineRule="auto"/>
        <w:jc w:val="both"/>
        <w:rPr>
          <w:rFonts w:ascii="Verdana" w:hAnsi="Verdana"/>
          <w:i w:val="0"/>
          <w:iCs w:val="0"/>
          <w:sz w:val="22"/>
          <w:szCs w:val="22"/>
        </w:rPr>
      </w:pPr>
      <w:r w:rsidRPr="0061024A">
        <w:rPr>
          <w:rFonts w:ascii="Verdana" w:hAnsi="Verdana"/>
          <w:i w:val="0"/>
          <w:iCs w:val="0"/>
          <w:sz w:val="22"/>
          <w:szCs w:val="22"/>
        </w:rPr>
        <w:t>The Toledo Institute for Development and Environment (TIDE) has been monitoring the populations of donkey dung sea cucumber since 2011 using fishery independent surveys</w:t>
      </w:r>
      <w:r w:rsidR="000935EF" w:rsidRPr="0061024A">
        <w:rPr>
          <w:rFonts w:ascii="Verdana" w:hAnsi="Verdana"/>
          <w:i w:val="0"/>
          <w:iCs w:val="0"/>
          <w:sz w:val="22"/>
          <w:szCs w:val="22"/>
        </w:rPr>
        <w:t xml:space="preserve">. Monitoring continued through the years of the moratorium, so there is annual assessment of the population available to observe population trends </w:t>
      </w:r>
      <w:r w:rsidR="00F7736D">
        <w:rPr>
          <w:rFonts w:ascii="Verdana" w:hAnsi="Verdana"/>
          <w:i w:val="0"/>
          <w:iCs w:val="0"/>
          <w:sz w:val="22"/>
          <w:szCs w:val="22"/>
        </w:rPr>
        <w:t>during</w:t>
      </w:r>
      <w:r w:rsidR="000935EF" w:rsidRPr="0061024A">
        <w:rPr>
          <w:rFonts w:ascii="Verdana" w:hAnsi="Verdana"/>
          <w:i w:val="0"/>
          <w:iCs w:val="0"/>
          <w:sz w:val="22"/>
          <w:szCs w:val="22"/>
        </w:rPr>
        <w:t xml:space="preserve"> the closure of the fishery. T</w:t>
      </w:r>
      <w:r w:rsidRPr="0061024A">
        <w:rPr>
          <w:rFonts w:ascii="Verdana" w:hAnsi="Verdana"/>
          <w:i w:val="0"/>
          <w:iCs w:val="0"/>
          <w:sz w:val="22"/>
          <w:szCs w:val="22"/>
        </w:rPr>
        <w:t xml:space="preserve">his report looks at data from 2020 and 2021. Data from previous years, 2017-2019 will be used to compare and look for any signs of a population recovery within the PHMR. </w:t>
      </w:r>
    </w:p>
    <w:p w14:paraId="77206D5B" w14:textId="3EA28AEE" w:rsidR="009E466F" w:rsidRPr="0061024A" w:rsidRDefault="009E466F" w:rsidP="009E466F">
      <w:pPr>
        <w:spacing w:line="276" w:lineRule="auto"/>
        <w:jc w:val="both"/>
        <w:rPr>
          <w:rFonts w:ascii="Verdana" w:hAnsi="Verdana" w:cs="Arial"/>
          <w:i w:val="0"/>
          <w:iCs w:val="0"/>
          <w:color w:val="000000"/>
          <w:sz w:val="22"/>
          <w:szCs w:val="22"/>
        </w:rPr>
      </w:pPr>
      <w:r w:rsidRPr="0061024A">
        <w:rPr>
          <w:rFonts w:ascii="Verdana" w:hAnsi="Verdana"/>
          <w:i w:val="0"/>
          <w:iCs w:val="0"/>
          <w:sz w:val="22"/>
          <w:szCs w:val="22"/>
        </w:rPr>
        <w:t>Donkey dung sea cucumber</w:t>
      </w:r>
      <w:r w:rsidR="0027479E" w:rsidRPr="0061024A">
        <w:rPr>
          <w:rFonts w:ascii="Verdana" w:hAnsi="Verdana"/>
          <w:i w:val="0"/>
          <w:iCs w:val="0"/>
          <w:sz w:val="22"/>
          <w:szCs w:val="22"/>
        </w:rPr>
        <w:t>s</w:t>
      </w:r>
      <w:r w:rsidRPr="0061024A">
        <w:rPr>
          <w:rFonts w:ascii="Verdana" w:hAnsi="Verdana"/>
          <w:i w:val="0"/>
          <w:iCs w:val="0"/>
          <w:sz w:val="22"/>
          <w:szCs w:val="22"/>
        </w:rPr>
        <w:t xml:space="preserve"> (</w:t>
      </w:r>
      <w:proofErr w:type="spellStart"/>
      <w:r w:rsidRPr="0061024A">
        <w:rPr>
          <w:rFonts w:ascii="Verdana" w:hAnsi="Verdana"/>
          <w:sz w:val="22"/>
          <w:szCs w:val="22"/>
        </w:rPr>
        <w:t>Holothuria</w:t>
      </w:r>
      <w:proofErr w:type="spellEnd"/>
      <w:r w:rsidRPr="0061024A">
        <w:rPr>
          <w:rFonts w:ascii="Verdana" w:hAnsi="Verdana"/>
          <w:sz w:val="22"/>
          <w:szCs w:val="22"/>
        </w:rPr>
        <w:t xml:space="preserve"> </w:t>
      </w:r>
      <w:proofErr w:type="spellStart"/>
      <w:r w:rsidRPr="0061024A">
        <w:rPr>
          <w:rFonts w:ascii="Verdana" w:hAnsi="Verdana"/>
          <w:sz w:val="22"/>
          <w:szCs w:val="22"/>
        </w:rPr>
        <w:t>mexicana</w:t>
      </w:r>
      <w:proofErr w:type="spellEnd"/>
      <w:r w:rsidRPr="0061024A">
        <w:rPr>
          <w:rFonts w:ascii="Verdana" w:hAnsi="Verdana"/>
          <w:i w:val="0"/>
          <w:iCs w:val="0"/>
          <w:sz w:val="22"/>
          <w:szCs w:val="22"/>
        </w:rPr>
        <w:t xml:space="preserve">) were surveyed using </w:t>
      </w:r>
      <w:r w:rsidR="0027479E" w:rsidRPr="0061024A">
        <w:rPr>
          <w:rFonts w:ascii="Verdana" w:hAnsi="Verdana"/>
          <w:i w:val="0"/>
          <w:iCs w:val="0"/>
          <w:sz w:val="22"/>
          <w:szCs w:val="22"/>
        </w:rPr>
        <w:t xml:space="preserve">a </w:t>
      </w:r>
      <w:r w:rsidRPr="0061024A">
        <w:rPr>
          <w:rFonts w:ascii="Verdana" w:hAnsi="Verdana"/>
          <w:i w:val="0"/>
          <w:iCs w:val="0"/>
          <w:sz w:val="22"/>
          <w:szCs w:val="22"/>
        </w:rPr>
        <w:t>visual census</w:t>
      </w:r>
      <w:r w:rsidR="0027479E" w:rsidRPr="0061024A">
        <w:rPr>
          <w:rFonts w:ascii="Verdana" w:hAnsi="Verdana"/>
          <w:i w:val="0"/>
          <w:iCs w:val="0"/>
          <w:sz w:val="22"/>
          <w:szCs w:val="22"/>
        </w:rPr>
        <w:t xml:space="preserve"> technique</w:t>
      </w:r>
      <w:r w:rsidRPr="0061024A">
        <w:rPr>
          <w:rFonts w:ascii="Verdana" w:hAnsi="Verdana"/>
          <w:i w:val="0"/>
          <w:iCs w:val="0"/>
          <w:sz w:val="22"/>
          <w:szCs w:val="22"/>
        </w:rPr>
        <w:t xml:space="preserve"> within a 400 m</w:t>
      </w:r>
      <w:r w:rsidRPr="00F7562A">
        <w:rPr>
          <w:rFonts w:ascii="Verdana" w:hAnsi="Verdana"/>
          <w:i w:val="0"/>
          <w:iCs w:val="0"/>
          <w:sz w:val="22"/>
          <w:szCs w:val="22"/>
          <w:vertAlign w:val="superscript"/>
        </w:rPr>
        <w:t>2</w:t>
      </w:r>
      <w:r w:rsidRPr="0061024A">
        <w:rPr>
          <w:rFonts w:ascii="Verdana" w:hAnsi="Verdana"/>
          <w:i w:val="0"/>
          <w:iCs w:val="0"/>
          <w:sz w:val="22"/>
          <w:szCs w:val="22"/>
        </w:rPr>
        <w:t xml:space="preserve"> circular area, based on methods from Amesbury and Kerr (1996). </w:t>
      </w:r>
      <w:r w:rsidRPr="0061024A">
        <w:rPr>
          <w:rFonts w:ascii="Verdana" w:hAnsi="Verdana" w:cs="Arial"/>
          <w:i w:val="0"/>
          <w:iCs w:val="0"/>
          <w:color w:val="000000"/>
          <w:sz w:val="22"/>
          <w:szCs w:val="22"/>
        </w:rPr>
        <w:t>At each location, two permanent marker</w:t>
      </w:r>
      <w:r w:rsidR="0027479E" w:rsidRPr="0061024A">
        <w:rPr>
          <w:rFonts w:ascii="Verdana" w:hAnsi="Verdana" w:cs="Arial"/>
          <w:i w:val="0"/>
          <w:iCs w:val="0"/>
          <w:color w:val="000000"/>
          <w:sz w:val="22"/>
          <w:szCs w:val="22"/>
        </w:rPr>
        <w:t xml:space="preserve"> pins</w:t>
      </w:r>
      <w:r w:rsidRPr="0061024A">
        <w:rPr>
          <w:rFonts w:ascii="Verdana" w:hAnsi="Verdana" w:cs="Arial"/>
          <w:i w:val="0"/>
          <w:iCs w:val="0"/>
          <w:color w:val="000000"/>
          <w:sz w:val="22"/>
          <w:szCs w:val="22"/>
        </w:rPr>
        <w:t xml:space="preserve"> have been placed underwater using PVC pipes with a concrete base. A pair of divers survey</w:t>
      </w:r>
      <w:r w:rsidR="00F7736D">
        <w:rPr>
          <w:rFonts w:ascii="Verdana" w:hAnsi="Verdana" w:cs="Arial"/>
          <w:i w:val="0"/>
          <w:iCs w:val="0"/>
          <w:color w:val="000000"/>
          <w:sz w:val="22"/>
          <w:szCs w:val="22"/>
        </w:rPr>
        <w:t>ed</w:t>
      </w:r>
      <w:r w:rsidRPr="0061024A">
        <w:rPr>
          <w:rFonts w:ascii="Verdana" w:hAnsi="Verdana" w:cs="Arial"/>
          <w:i w:val="0"/>
          <w:iCs w:val="0"/>
          <w:color w:val="000000"/>
          <w:sz w:val="22"/>
          <w:szCs w:val="22"/>
        </w:rPr>
        <w:t xml:space="preserve"> the site by placing a tape measure at the first marker and slowly swimming in a circle with the tape measure attached</w:t>
      </w:r>
      <w:r w:rsidR="000935EF" w:rsidRPr="0061024A">
        <w:rPr>
          <w:rFonts w:ascii="Verdana" w:hAnsi="Verdana" w:cs="Arial"/>
          <w:i w:val="0"/>
          <w:iCs w:val="0"/>
          <w:color w:val="000000"/>
          <w:sz w:val="22"/>
          <w:szCs w:val="22"/>
        </w:rPr>
        <w:t xml:space="preserve"> for a radius of 11.28m. The divers swim inner circles</w:t>
      </w:r>
      <w:r w:rsidRPr="0061024A">
        <w:rPr>
          <w:rFonts w:ascii="Verdana" w:hAnsi="Verdana" w:cs="Arial"/>
          <w:i w:val="0"/>
          <w:iCs w:val="0"/>
          <w:color w:val="000000"/>
          <w:sz w:val="22"/>
          <w:szCs w:val="22"/>
        </w:rPr>
        <w:t xml:space="preserve"> at 3m, 6m, 9m and 11.28m</w:t>
      </w:r>
      <w:r w:rsidR="000935EF" w:rsidRPr="0061024A">
        <w:rPr>
          <w:rFonts w:ascii="Verdana" w:hAnsi="Verdana" w:cs="Arial"/>
          <w:i w:val="0"/>
          <w:iCs w:val="0"/>
          <w:color w:val="000000"/>
          <w:sz w:val="22"/>
          <w:szCs w:val="22"/>
        </w:rPr>
        <w:t xml:space="preserve"> distance from the marker, to cover the entire area within the 11.28m radius</w:t>
      </w:r>
      <w:r w:rsidRPr="0061024A">
        <w:rPr>
          <w:rFonts w:ascii="Verdana" w:hAnsi="Verdana" w:cs="Arial"/>
          <w:i w:val="0"/>
          <w:iCs w:val="0"/>
          <w:color w:val="000000"/>
          <w:sz w:val="22"/>
          <w:szCs w:val="22"/>
        </w:rPr>
        <w:t xml:space="preserve">. </w:t>
      </w:r>
      <w:r w:rsidR="000935EF" w:rsidRPr="0061024A">
        <w:rPr>
          <w:rFonts w:ascii="Verdana" w:hAnsi="Verdana" w:cs="Arial"/>
          <w:i w:val="0"/>
          <w:iCs w:val="0"/>
          <w:color w:val="000000"/>
          <w:sz w:val="22"/>
          <w:szCs w:val="22"/>
        </w:rPr>
        <w:t xml:space="preserve">A </w:t>
      </w:r>
      <w:r w:rsidRPr="0061024A">
        <w:rPr>
          <w:rFonts w:ascii="Verdana" w:hAnsi="Verdana" w:cs="Arial"/>
          <w:i w:val="0"/>
          <w:iCs w:val="0"/>
          <w:color w:val="000000"/>
          <w:sz w:val="22"/>
          <w:szCs w:val="22"/>
        </w:rPr>
        <w:t xml:space="preserve">second transect </w:t>
      </w:r>
      <w:r w:rsidR="000935EF" w:rsidRPr="0061024A">
        <w:rPr>
          <w:rFonts w:ascii="Verdana" w:hAnsi="Verdana" w:cs="Arial"/>
          <w:i w:val="0"/>
          <w:iCs w:val="0"/>
          <w:color w:val="000000"/>
          <w:sz w:val="22"/>
          <w:szCs w:val="22"/>
        </w:rPr>
        <w:t>is repeated at</w:t>
      </w:r>
      <w:r w:rsidRPr="0061024A">
        <w:rPr>
          <w:rFonts w:ascii="Verdana" w:hAnsi="Verdana" w:cs="Arial"/>
          <w:i w:val="0"/>
          <w:iCs w:val="0"/>
          <w:color w:val="000000"/>
          <w:sz w:val="22"/>
          <w:szCs w:val="22"/>
        </w:rPr>
        <w:t xml:space="preserve"> 25 m away at the second point. This results in a 400m</w:t>
      </w:r>
      <w:r w:rsidRPr="00F7562A">
        <w:rPr>
          <w:rFonts w:ascii="Verdana" w:hAnsi="Verdana" w:cs="Arial"/>
          <w:i w:val="0"/>
          <w:iCs w:val="0"/>
          <w:color w:val="000000"/>
          <w:sz w:val="22"/>
          <w:szCs w:val="22"/>
          <w:vertAlign w:val="superscript"/>
        </w:rPr>
        <w:t>2</w:t>
      </w:r>
      <w:r w:rsidRPr="0061024A">
        <w:rPr>
          <w:rFonts w:ascii="Verdana" w:hAnsi="Verdana" w:cs="Arial"/>
          <w:i w:val="0"/>
          <w:iCs w:val="0"/>
          <w:color w:val="000000"/>
          <w:sz w:val="22"/>
          <w:szCs w:val="22"/>
        </w:rPr>
        <w:t xml:space="preserve"> </w:t>
      </w:r>
      <w:r w:rsidR="000935EF" w:rsidRPr="0061024A">
        <w:rPr>
          <w:rFonts w:ascii="Verdana" w:hAnsi="Verdana" w:cs="Arial"/>
          <w:i w:val="0"/>
          <w:iCs w:val="0"/>
          <w:color w:val="000000"/>
          <w:sz w:val="22"/>
          <w:szCs w:val="22"/>
        </w:rPr>
        <w:t xml:space="preserve">area </w:t>
      </w:r>
      <w:r w:rsidRPr="0061024A">
        <w:rPr>
          <w:rFonts w:ascii="Verdana" w:hAnsi="Verdana" w:cs="Arial"/>
          <w:i w:val="0"/>
          <w:iCs w:val="0"/>
          <w:color w:val="000000"/>
          <w:sz w:val="22"/>
          <w:szCs w:val="22"/>
        </w:rPr>
        <w:t>survey</w:t>
      </w:r>
      <w:r w:rsidR="000935EF" w:rsidRPr="0061024A">
        <w:rPr>
          <w:rFonts w:ascii="Verdana" w:hAnsi="Verdana" w:cs="Arial"/>
          <w:i w:val="0"/>
          <w:iCs w:val="0"/>
          <w:color w:val="000000"/>
          <w:sz w:val="22"/>
          <w:szCs w:val="22"/>
        </w:rPr>
        <w:t>ed</w:t>
      </w:r>
      <w:r w:rsidRPr="0061024A">
        <w:rPr>
          <w:rFonts w:ascii="Verdana" w:hAnsi="Verdana" w:cs="Arial"/>
          <w:i w:val="0"/>
          <w:iCs w:val="0"/>
          <w:color w:val="000000"/>
          <w:sz w:val="22"/>
          <w:szCs w:val="22"/>
        </w:rPr>
        <w:t xml:space="preserve"> per transect. Each site ha</w:t>
      </w:r>
      <w:r w:rsidR="00F7736D">
        <w:rPr>
          <w:rFonts w:ascii="Verdana" w:hAnsi="Verdana" w:cs="Arial"/>
          <w:i w:val="0"/>
          <w:iCs w:val="0"/>
          <w:color w:val="000000"/>
          <w:sz w:val="22"/>
          <w:szCs w:val="22"/>
        </w:rPr>
        <w:t>d</w:t>
      </w:r>
      <w:r w:rsidRPr="0061024A">
        <w:rPr>
          <w:rFonts w:ascii="Verdana" w:hAnsi="Verdana" w:cs="Arial"/>
          <w:i w:val="0"/>
          <w:iCs w:val="0"/>
          <w:color w:val="000000"/>
          <w:sz w:val="22"/>
          <w:szCs w:val="22"/>
        </w:rPr>
        <w:t xml:space="preserve"> two transects completed. Once a sea cucumber is found, its position on the transect is recorded along with its length and width, the depth at which it was found and the substrate type where it was found. When measurements are completed, the sea cucumber is collected to take to the surface at the end of </w:t>
      </w:r>
      <w:r w:rsidR="00F7562A">
        <w:rPr>
          <w:rFonts w:ascii="Verdana" w:hAnsi="Verdana" w:cs="Arial"/>
          <w:i w:val="0"/>
          <w:iCs w:val="0"/>
          <w:color w:val="000000"/>
          <w:sz w:val="22"/>
          <w:szCs w:val="22"/>
        </w:rPr>
        <w:t xml:space="preserve">the </w:t>
      </w:r>
      <w:r w:rsidRPr="0061024A">
        <w:rPr>
          <w:rFonts w:ascii="Verdana" w:hAnsi="Verdana" w:cs="Arial"/>
          <w:i w:val="0"/>
          <w:iCs w:val="0"/>
          <w:color w:val="000000"/>
          <w:sz w:val="22"/>
          <w:szCs w:val="22"/>
        </w:rPr>
        <w:t>transect survey. At the surface the samples are weighed and then placed back in the water.</w:t>
      </w:r>
    </w:p>
    <w:p w14:paraId="69C992DA" w14:textId="5E30CDC2" w:rsidR="009E466F" w:rsidRPr="001913D8" w:rsidRDefault="009E466F" w:rsidP="001913D8">
      <w:pPr>
        <w:spacing w:line="276" w:lineRule="auto"/>
        <w:jc w:val="both"/>
        <w:rPr>
          <w:rFonts w:ascii="Verdana" w:hAnsi="Verdana"/>
          <w:sz w:val="22"/>
          <w:szCs w:val="22"/>
        </w:rPr>
      </w:pPr>
      <w:r w:rsidRPr="0061024A">
        <w:rPr>
          <w:rFonts w:ascii="Verdana" w:hAnsi="Verdana" w:cs="Arial"/>
          <w:i w:val="0"/>
          <w:iCs w:val="0"/>
          <w:color w:val="000000"/>
          <w:sz w:val="22"/>
          <w:szCs w:val="22"/>
        </w:rPr>
        <w:lastRenderedPageBreak/>
        <w:t xml:space="preserve">A total of </w:t>
      </w:r>
      <w:r w:rsidR="00893E92" w:rsidRPr="0061024A">
        <w:rPr>
          <w:rFonts w:ascii="Verdana" w:hAnsi="Verdana" w:cs="Arial"/>
          <w:i w:val="0"/>
          <w:iCs w:val="0"/>
          <w:color w:val="000000"/>
          <w:sz w:val="22"/>
          <w:szCs w:val="22"/>
        </w:rPr>
        <w:t>twenty-</w:t>
      </w:r>
      <w:r w:rsidR="00F7562A">
        <w:rPr>
          <w:rFonts w:ascii="Verdana" w:hAnsi="Verdana" w:cs="Arial"/>
          <w:i w:val="0"/>
          <w:iCs w:val="0"/>
          <w:color w:val="000000"/>
          <w:sz w:val="22"/>
          <w:szCs w:val="22"/>
        </w:rPr>
        <w:t>two</w:t>
      </w:r>
      <w:r w:rsidRPr="0061024A">
        <w:rPr>
          <w:rFonts w:ascii="Verdana" w:hAnsi="Verdana" w:cs="Arial"/>
          <w:i w:val="0"/>
          <w:iCs w:val="0"/>
          <w:color w:val="000000"/>
          <w:sz w:val="22"/>
          <w:szCs w:val="22"/>
        </w:rPr>
        <w:t xml:space="preserve"> sites were surveyed in 2020 and </w:t>
      </w:r>
      <w:r w:rsidR="00893E92" w:rsidRPr="0061024A">
        <w:rPr>
          <w:rFonts w:ascii="Verdana" w:hAnsi="Verdana" w:cs="Arial"/>
          <w:i w:val="0"/>
          <w:iCs w:val="0"/>
          <w:color w:val="000000"/>
          <w:sz w:val="22"/>
          <w:szCs w:val="22"/>
        </w:rPr>
        <w:t>twenty-three</w:t>
      </w:r>
      <w:r w:rsidRPr="0061024A">
        <w:rPr>
          <w:rFonts w:ascii="Verdana" w:hAnsi="Verdana" w:cs="Arial"/>
          <w:i w:val="0"/>
          <w:iCs w:val="0"/>
          <w:color w:val="000000"/>
          <w:sz w:val="22"/>
          <w:szCs w:val="22"/>
        </w:rPr>
        <w:t xml:space="preserve"> in 2021, within the replenishment zones, general use zone and outside the reserve</w:t>
      </w:r>
      <w:r w:rsidR="0027479E" w:rsidRPr="0061024A">
        <w:rPr>
          <w:rFonts w:ascii="Verdana" w:hAnsi="Verdana" w:cs="Arial"/>
          <w:i w:val="0"/>
          <w:iCs w:val="0"/>
          <w:color w:val="000000"/>
          <w:sz w:val="22"/>
          <w:szCs w:val="22"/>
        </w:rPr>
        <w:t xml:space="preserve"> (Figure 2)</w:t>
      </w:r>
      <w:r w:rsidRPr="0061024A">
        <w:rPr>
          <w:rFonts w:ascii="Verdana" w:hAnsi="Verdana" w:cs="Arial"/>
          <w:i w:val="0"/>
          <w:iCs w:val="0"/>
          <w:color w:val="000000"/>
          <w:sz w:val="22"/>
          <w:szCs w:val="22"/>
        </w:rPr>
        <w:t>.</w:t>
      </w:r>
      <w:r w:rsidR="0027479E" w:rsidRPr="0061024A">
        <w:rPr>
          <w:rFonts w:ascii="Verdana" w:hAnsi="Verdana" w:cs="Arial"/>
          <w:i w:val="0"/>
          <w:iCs w:val="0"/>
          <w:color w:val="000000"/>
          <w:sz w:val="22"/>
          <w:szCs w:val="22"/>
        </w:rPr>
        <w:t xml:space="preserve"> Surveys were conducted over 3-4 days during May 2020 and July 2021.</w:t>
      </w:r>
      <w:r w:rsidR="008C2FE2" w:rsidRPr="0061024A">
        <w:rPr>
          <w:rFonts w:ascii="Verdana" w:hAnsi="Verdana" w:cs="Arial"/>
          <w:i w:val="0"/>
          <w:iCs w:val="0"/>
          <w:color w:val="000000"/>
          <w:sz w:val="22"/>
          <w:szCs w:val="22"/>
        </w:rPr>
        <w:t xml:space="preserve"> Data on abundance (density), length, width, </w:t>
      </w:r>
      <w:r w:rsidR="00F7562A">
        <w:rPr>
          <w:rFonts w:ascii="Verdana" w:hAnsi="Verdana" w:cs="Arial"/>
          <w:i w:val="0"/>
          <w:iCs w:val="0"/>
          <w:color w:val="000000"/>
          <w:sz w:val="22"/>
          <w:szCs w:val="22"/>
        </w:rPr>
        <w:t xml:space="preserve">and </w:t>
      </w:r>
      <w:r w:rsidR="008C2FE2" w:rsidRPr="0061024A">
        <w:rPr>
          <w:rFonts w:ascii="Verdana" w:hAnsi="Verdana" w:cs="Arial"/>
          <w:i w:val="0"/>
          <w:iCs w:val="0"/>
          <w:color w:val="000000"/>
          <w:sz w:val="22"/>
          <w:szCs w:val="22"/>
        </w:rPr>
        <w:t xml:space="preserve">weight </w:t>
      </w:r>
      <w:r w:rsidR="00F7736D">
        <w:rPr>
          <w:rFonts w:ascii="Verdana" w:hAnsi="Verdana" w:cs="Arial"/>
          <w:i w:val="0"/>
          <w:iCs w:val="0"/>
          <w:color w:val="000000"/>
          <w:sz w:val="22"/>
          <w:szCs w:val="22"/>
        </w:rPr>
        <w:t>are</w:t>
      </w:r>
      <w:r w:rsidR="008C2FE2" w:rsidRPr="0061024A">
        <w:rPr>
          <w:rFonts w:ascii="Verdana" w:hAnsi="Verdana" w:cs="Arial"/>
          <w:i w:val="0"/>
          <w:iCs w:val="0"/>
          <w:color w:val="000000"/>
          <w:sz w:val="22"/>
          <w:szCs w:val="22"/>
        </w:rPr>
        <w:t xml:space="preserve"> presented here.</w:t>
      </w:r>
    </w:p>
    <w:p w14:paraId="413A6251" w14:textId="1DC9E0F4" w:rsidR="00A55C77" w:rsidRPr="00A727A5" w:rsidRDefault="005A0DA6" w:rsidP="00A727A5">
      <w:r>
        <w:rPr>
          <w:noProof/>
        </w:rPr>
        <w:drawing>
          <wp:inline distT="0" distB="0" distL="0" distR="0" wp14:anchorId="0DF97BA9" wp14:editId="7250FAEA">
            <wp:extent cx="5939028" cy="3959352"/>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028" cy="3959352"/>
                    </a:xfrm>
                    <a:prstGeom prst="rect">
                      <a:avLst/>
                    </a:prstGeom>
                  </pic:spPr>
                </pic:pic>
              </a:graphicData>
            </a:graphic>
          </wp:inline>
        </w:drawing>
      </w:r>
    </w:p>
    <w:p w14:paraId="29D8FB51" w14:textId="7A3BAE34" w:rsidR="00FE5DB0" w:rsidRPr="0031288E" w:rsidRDefault="00FE5DB0" w:rsidP="00FE5DB0">
      <w:pPr>
        <w:pStyle w:val="Caption"/>
        <w:rPr>
          <w:rFonts w:ascii="Verdana" w:hAnsi="Verdana"/>
        </w:rPr>
      </w:pPr>
      <w:r w:rsidRPr="0031288E">
        <w:rPr>
          <w:rFonts w:ascii="Verdana" w:hAnsi="Verdana"/>
        </w:rPr>
        <w:t xml:space="preserve">Figure </w:t>
      </w:r>
      <w:r w:rsidRPr="0031288E">
        <w:rPr>
          <w:rFonts w:ascii="Verdana" w:hAnsi="Verdana"/>
        </w:rPr>
        <w:fldChar w:fldCharType="begin"/>
      </w:r>
      <w:r w:rsidRPr="0031288E">
        <w:rPr>
          <w:rFonts w:ascii="Verdana" w:hAnsi="Verdana"/>
        </w:rPr>
        <w:instrText xml:space="preserve"> SEQ Figure \* ARABIC </w:instrText>
      </w:r>
      <w:r w:rsidRPr="0031288E">
        <w:rPr>
          <w:rFonts w:ascii="Verdana" w:hAnsi="Verdana"/>
        </w:rPr>
        <w:fldChar w:fldCharType="separate"/>
      </w:r>
      <w:r w:rsidRPr="0031288E">
        <w:rPr>
          <w:rFonts w:ascii="Verdana" w:hAnsi="Verdana"/>
          <w:noProof/>
        </w:rPr>
        <w:t>2</w:t>
      </w:r>
      <w:r w:rsidRPr="0031288E">
        <w:rPr>
          <w:rFonts w:ascii="Verdana" w:hAnsi="Verdana"/>
          <w:noProof/>
        </w:rPr>
        <w:fldChar w:fldCharType="end"/>
      </w:r>
      <w:r w:rsidRPr="0031288E">
        <w:rPr>
          <w:rFonts w:ascii="Verdana" w:hAnsi="Verdana"/>
        </w:rPr>
        <w:t xml:space="preserve"> </w:t>
      </w:r>
      <w:r>
        <w:rPr>
          <w:rFonts w:ascii="Verdana" w:hAnsi="Verdana"/>
        </w:rPr>
        <w:t>Sea cucumber</w:t>
      </w:r>
      <w:r w:rsidRPr="0031288E">
        <w:rPr>
          <w:rFonts w:ascii="Verdana" w:hAnsi="Verdana"/>
        </w:rPr>
        <w:t xml:space="preserve"> monitoring sites within the PHMR and adjacent buffer area (TIDE 2019)</w:t>
      </w:r>
    </w:p>
    <w:p w14:paraId="3F318F49" w14:textId="77777777" w:rsidR="00C67A9C" w:rsidRPr="0031288E" w:rsidRDefault="00C67A9C" w:rsidP="007F6D3B">
      <w:pPr>
        <w:spacing w:line="276" w:lineRule="auto"/>
        <w:jc w:val="both"/>
        <w:rPr>
          <w:rFonts w:ascii="Verdana" w:hAnsi="Verdana" w:cs="Bangla MN"/>
          <w:b/>
          <w:bCs/>
          <w:sz w:val="28"/>
          <w:szCs w:val="28"/>
        </w:rPr>
      </w:pPr>
    </w:p>
    <w:p w14:paraId="71A2E2A2" w14:textId="6B52B87C" w:rsidR="00226EB9" w:rsidRPr="0031288E" w:rsidRDefault="00226EB9" w:rsidP="007F6D3B">
      <w:pPr>
        <w:spacing w:line="276" w:lineRule="auto"/>
        <w:jc w:val="both"/>
        <w:rPr>
          <w:rFonts w:ascii="Verdana" w:hAnsi="Verdana" w:cs="Bangla MN"/>
          <w:b/>
          <w:bCs/>
          <w:sz w:val="28"/>
          <w:szCs w:val="28"/>
        </w:rPr>
      </w:pPr>
      <w:r w:rsidRPr="0031288E">
        <w:rPr>
          <w:rFonts w:ascii="Verdana" w:hAnsi="Verdana" w:cs="Bangla MN"/>
          <w:b/>
          <w:bCs/>
          <w:sz w:val="28"/>
          <w:szCs w:val="28"/>
        </w:rPr>
        <w:t>Results</w:t>
      </w:r>
    </w:p>
    <w:p w14:paraId="65DACA75" w14:textId="0A4FA553" w:rsidR="005C5353" w:rsidRPr="0031288E" w:rsidRDefault="005C5353" w:rsidP="00541342">
      <w:pPr>
        <w:spacing w:line="276" w:lineRule="auto"/>
        <w:jc w:val="both"/>
        <w:rPr>
          <w:rFonts w:ascii="Verdana" w:hAnsi="Verdana"/>
        </w:rPr>
        <w:sectPr w:rsidR="005C5353" w:rsidRPr="0031288E" w:rsidSect="00E6273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p>
    <w:p w14:paraId="549512A5" w14:textId="155B1967" w:rsidR="00364E6E" w:rsidRPr="00AB0EFA" w:rsidRDefault="00DB7E72" w:rsidP="00AB0EFA">
      <w:pPr>
        <w:pStyle w:val="Caption"/>
        <w:spacing w:line="276" w:lineRule="auto"/>
        <w:jc w:val="both"/>
        <w:rPr>
          <w:rFonts w:ascii="Verdana" w:hAnsi="Verdana"/>
          <w:b w:val="0"/>
          <w:bCs w:val="0"/>
          <w:i w:val="0"/>
          <w:iCs w:val="0"/>
          <w:color w:val="auto"/>
          <w:sz w:val="22"/>
          <w:szCs w:val="22"/>
        </w:rPr>
      </w:pPr>
      <w:r w:rsidRPr="00AB0EFA">
        <w:rPr>
          <w:rFonts w:ascii="Verdana" w:hAnsi="Verdana"/>
          <w:b w:val="0"/>
          <w:bCs w:val="0"/>
          <w:i w:val="0"/>
          <w:iCs w:val="0"/>
          <w:color w:val="auto"/>
          <w:sz w:val="22"/>
          <w:szCs w:val="22"/>
        </w:rPr>
        <w:t xml:space="preserve">Donkey dung sea cucumbers were surveyed in 2020 and 2021 </w:t>
      </w:r>
      <w:r w:rsidR="00F7562A">
        <w:rPr>
          <w:rFonts w:ascii="Verdana" w:hAnsi="Verdana"/>
          <w:b w:val="0"/>
          <w:bCs w:val="0"/>
          <w:i w:val="0"/>
          <w:iCs w:val="0"/>
          <w:color w:val="auto"/>
          <w:sz w:val="22"/>
          <w:szCs w:val="22"/>
        </w:rPr>
        <w:t xml:space="preserve">from </w:t>
      </w:r>
      <w:r w:rsidRPr="00AB0EFA">
        <w:rPr>
          <w:rFonts w:ascii="Verdana" w:hAnsi="Verdana"/>
          <w:b w:val="0"/>
          <w:bCs w:val="0"/>
          <w:i w:val="0"/>
          <w:iCs w:val="0"/>
          <w:color w:val="auto"/>
          <w:sz w:val="22"/>
          <w:szCs w:val="22"/>
        </w:rPr>
        <w:t xml:space="preserve">twenty-four established monitoring sites in the PHMR. Overall population abundance was very low with a mean of </w:t>
      </w:r>
      <w:r w:rsidR="00064829">
        <w:rPr>
          <w:rFonts w:ascii="Verdana" w:hAnsi="Verdana"/>
          <w:b w:val="0"/>
          <w:bCs w:val="0"/>
          <w:i w:val="0"/>
          <w:iCs w:val="0"/>
          <w:color w:val="auto"/>
          <w:sz w:val="22"/>
          <w:szCs w:val="22"/>
        </w:rPr>
        <w:t>14</w:t>
      </w:r>
      <w:r w:rsidRPr="00AB0EFA">
        <w:rPr>
          <w:rFonts w:ascii="Verdana" w:hAnsi="Verdana"/>
          <w:b w:val="0"/>
          <w:bCs w:val="0"/>
          <w:i w:val="0"/>
          <w:iCs w:val="0"/>
          <w:color w:val="auto"/>
          <w:sz w:val="22"/>
          <w:szCs w:val="22"/>
        </w:rPr>
        <w:t>.</w:t>
      </w:r>
      <w:r w:rsidR="00064829">
        <w:rPr>
          <w:rFonts w:ascii="Verdana" w:hAnsi="Verdana"/>
          <w:b w:val="0"/>
          <w:bCs w:val="0"/>
          <w:i w:val="0"/>
          <w:iCs w:val="0"/>
          <w:color w:val="auto"/>
          <w:sz w:val="22"/>
          <w:szCs w:val="22"/>
        </w:rPr>
        <w:t>2</w:t>
      </w:r>
      <w:r w:rsidRPr="00AB0EFA">
        <w:rPr>
          <w:rFonts w:ascii="Verdana" w:hAnsi="Verdana"/>
          <w:b w:val="0"/>
          <w:bCs w:val="0"/>
          <w:i w:val="0"/>
          <w:iCs w:val="0"/>
          <w:color w:val="auto"/>
          <w:sz w:val="22"/>
          <w:szCs w:val="22"/>
        </w:rPr>
        <w:t xml:space="preserve"> per </w:t>
      </w:r>
      <w:r w:rsidR="00064829">
        <w:rPr>
          <w:rFonts w:ascii="Verdana" w:hAnsi="Verdana"/>
          <w:b w:val="0"/>
          <w:bCs w:val="0"/>
          <w:i w:val="0"/>
          <w:iCs w:val="0"/>
          <w:color w:val="auto"/>
          <w:sz w:val="22"/>
          <w:szCs w:val="22"/>
        </w:rPr>
        <w:t>h</w:t>
      </w:r>
      <w:r w:rsidRPr="00AB0EFA">
        <w:rPr>
          <w:rFonts w:ascii="Verdana" w:hAnsi="Verdana"/>
          <w:b w:val="0"/>
          <w:bCs w:val="0"/>
          <w:i w:val="0"/>
          <w:iCs w:val="0"/>
          <w:color w:val="auto"/>
          <w:sz w:val="22"/>
          <w:szCs w:val="22"/>
        </w:rPr>
        <w:t xml:space="preserve">a and </w:t>
      </w:r>
      <w:r w:rsidR="00064829">
        <w:rPr>
          <w:rFonts w:ascii="Verdana" w:hAnsi="Verdana"/>
          <w:b w:val="0"/>
          <w:bCs w:val="0"/>
          <w:i w:val="0"/>
          <w:iCs w:val="0"/>
          <w:color w:val="auto"/>
          <w:sz w:val="22"/>
          <w:szCs w:val="22"/>
        </w:rPr>
        <w:t>21</w:t>
      </w:r>
      <w:r w:rsidRPr="00AB0EFA">
        <w:rPr>
          <w:rFonts w:ascii="Verdana" w:hAnsi="Verdana"/>
          <w:b w:val="0"/>
          <w:bCs w:val="0"/>
          <w:i w:val="0"/>
          <w:iCs w:val="0"/>
          <w:color w:val="auto"/>
          <w:sz w:val="22"/>
          <w:szCs w:val="22"/>
        </w:rPr>
        <w:t>.</w:t>
      </w:r>
      <w:r w:rsidR="00064829">
        <w:rPr>
          <w:rFonts w:ascii="Verdana" w:hAnsi="Verdana"/>
          <w:b w:val="0"/>
          <w:bCs w:val="0"/>
          <w:i w:val="0"/>
          <w:iCs w:val="0"/>
          <w:color w:val="auto"/>
          <w:sz w:val="22"/>
          <w:szCs w:val="22"/>
        </w:rPr>
        <w:t>7</w:t>
      </w:r>
      <w:r w:rsidRPr="00AB0EFA">
        <w:rPr>
          <w:rFonts w:ascii="Verdana" w:hAnsi="Verdana"/>
          <w:b w:val="0"/>
          <w:bCs w:val="0"/>
          <w:i w:val="0"/>
          <w:iCs w:val="0"/>
          <w:color w:val="auto"/>
          <w:sz w:val="22"/>
          <w:szCs w:val="22"/>
        </w:rPr>
        <w:t xml:space="preserve"> per </w:t>
      </w:r>
      <w:r w:rsidR="00064829">
        <w:rPr>
          <w:rFonts w:ascii="Verdana" w:hAnsi="Verdana"/>
          <w:b w:val="0"/>
          <w:bCs w:val="0"/>
          <w:i w:val="0"/>
          <w:iCs w:val="0"/>
          <w:color w:val="auto"/>
          <w:sz w:val="22"/>
          <w:szCs w:val="22"/>
        </w:rPr>
        <w:t>h</w:t>
      </w:r>
      <w:r w:rsidRPr="00AB0EFA">
        <w:rPr>
          <w:rFonts w:ascii="Verdana" w:hAnsi="Verdana"/>
          <w:b w:val="0"/>
          <w:bCs w:val="0"/>
          <w:i w:val="0"/>
          <w:iCs w:val="0"/>
          <w:color w:val="auto"/>
          <w:sz w:val="22"/>
          <w:szCs w:val="22"/>
        </w:rPr>
        <w:t>a of sea cucumbers, in 2020 and 2021 respectively (Table 1). Only six of the 22 sites surveyed in 2020 and 9 of the 23 sites surveyed in 2021, had sea cucumbers (Table 1). The mean length, width and weight of sea cucumbers in 2020 was 22.2 (±2.0 S.E.) cm,</w:t>
      </w:r>
      <w:r w:rsidR="007E43E2">
        <w:rPr>
          <w:rFonts w:ascii="Verdana" w:hAnsi="Verdana"/>
          <w:b w:val="0"/>
          <w:bCs w:val="0"/>
          <w:i w:val="0"/>
          <w:iCs w:val="0"/>
          <w:color w:val="auto"/>
          <w:sz w:val="22"/>
          <w:szCs w:val="22"/>
        </w:rPr>
        <w:t xml:space="preserve"> 0.9</w:t>
      </w:r>
      <w:r w:rsidRPr="00AB0EFA">
        <w:rPr>
          <w:rFonts w:ascii="Verdana" w:hAnsi="Verdana"/>
          <w:b w:val="0"/>
          <w:bCs w:val="0"/>
          <w:i w:val="0"/>
          <w:iCs w:val="0"/>
          <w:color w:val="auto"/>
          <w:sz w:val="22"/>
          <w:szCs w:val="22"/>
        </w:rPr>
        <w:t xml:space="preserve"> (±</w:t>
      </w:r>
      <w:r w:rsidR="007E43E2">
        <w:rPr>
          <w:rFonts w:ascii="Verdana" w:hAnsi="Verdana"/>
          <w:b w:val="0"/>
          <w:bCs w:val="0"/>
          <w:i w:val="0"/>
          <w:iCs w:val="0"/>
          <w:color w:val="auto"/>
          <w:sz w:val="22"/>
          <w:szCs w:val="22"/>
        </w:rPr>
        <w:t>0</w:t>
      </w:r>
      <w:r w:rsidRPr="00AB0EFA">
        <w:rPr>
          <w:rFonts w:ascii="Verdana" w:hAnsi="Verdana"/>
          <w:b w:val="0"/>
          <w:bCs w:val="0"/>
          <w:i w:val="0"/>
          <w:iCs w:val="0"/>
          <w:color w:val="auto"/>
          <w:sz w:val="22"/>
          <w:szCs w:val="22"/>
        </w:rPr>
        <w:t xml:space="preserve">.2 S.E.) cm, 0.6 (±0.1 S.E.) kg, and was similar in 2021, </w:t>
      </w:r>
      <w:r w:rsidR="006F4D87" w:rsidRPr="00AB0EFA">
        <w:rPr>
          <w:rFonts w:ascii="Verdana" w:hAnsi="Verdana"/>
          <w:b w:val="0"/>
          <w:bCs w:val="0"/>
          <w:i w:val="0"/>
          <w:iCs w:val="0"/>
          <w:color w:val="auto"/>
          <w:sz w:val="22"/>
          <w:szCs w:val="22"/>
        </w:rPr>
        <w:t xml:space="preserve">with </w:t>
      </w:r>
      <w:r w:rsidRPr="00AB0EFA">
        <w:rPr>
          <w:rFonts w:ascii="Verdana" w:hAnsi="Verdana"/>
          <w:b w:val="0"/>
          <w:bCs w:val="0"/>
          <w:i w:val="0"/>
          <w:iCs w:val="0"/>
          <w:color w:val="auto"/>
          <w:sz w:val="22"/>
          <w:szCs w:val="22"/>
        </w:rPr>
        <w:t>23.7 (±</w:t>
      </w:r>
      <w:r w:rsidR="00E91D96" w:rsidRPr="00AB0EFA">
        <w:rPr>
          <w:rFonts w:ascii="Verdana" w:hAnsi="Verdana"/>
          <w:b w:val="0"/>
          <w:bCs w:val="0"/>
          <w:i w:val="0"/>
          <w:iCs w:val="0"/>
          <w:color w:val="auto"/>
          <w:sz w:val="22"/>
          <w:szCs w:val="22"/>
        </w:rPr>
        <w:t>1</w:t>
      </w:r>
      <w:r w:rsidRPr="00AB0EFA">
        <w:rPr>
          <w:rFonts w:ascii="Verdana" w:hAnsi="Verdana"/>
          <w:b w:val="0"/>
          <w:bCs w:val="0"/>
          <w:i w:val="0"/>
          <w:iCs w:val="0"/>
          <w:color w:val="auto"/>
          <w:sz w:val="22"/>
          <w:szCs w:val="22"/>
        </w:rPr>
        <w:t>.</w:t>
      </w:r>
      <w:r w:rsidR="00E91D96" w:rsidRPr="00AB0EFA">
        <w:rPr>
          <w:rFonts w:ascii="Verdana" w:hAnsi="Verdana"/>
          <w:b w:val="0"/>
          <w:bCs w:val="0"/>
          <w:i w:val="0"/>
          <w:iCs w:val="0"/>
          <w:color w:val="auto"/>
          <w:sz w:val="22"/>
          <w:szCs w:val="22"/>
        </w:rPr>
        <w:t>9</w:t>
      </w:r>
      <w:r w:rsidRPr="00AB0EFA">
        <w:rPr>
          <w:rFonts w:ascii="Verdana" w:hAnsi="Verdana"/>
          <w:b w:val="0"/>
          <w:bCs w:val="0"/>
          <w:i w:val="0"/>
          <w:iCs w:val="0"/>
          <w:color w:val="auto"/>
          <w:sz w:val="22"/>
          <w:szCs w:val="22"/>
        </w:rPr>
        <w:t xml:space="preserve"> S.E.)  cm, 0.6 (±</w:t>
      </w:r>
      <w:r w:rsidR="00E91D96" w:rsidRPr="00AB0EFA">
        <w:rPr>
          <w:rFonts w:ascii="Verdana" w:hAnsi="Verdana"/>
          <w:b w:val="0"/>
          <w:bCs w:val="0"/>
          <w:i w:val="0"/>
          <w:iCs w:val="0"/>
          <w:color w:val="auto"/>
          <w:sz w:val="22"/>
          <w:szCs w:val="22"/>
        </w:rPr>
        <w:t>0</w:t>
      </w:r>
      <w:r w:rsidRPr="00AB0EFA">
        <w:rPr>
          <w:rFonts w:ascii="Verdana" w:hAnsi="Verdana"/>
          <w:b w:val="0"/>
          <w:bCs w:val="0"/>
          <w:i w:val="0"/>
          <w:iCs w:val="0"/>
          <w:color w:val="auto"/>
          <w:sz w:val="22"/>
          <w:szCs w:val="22"/>
        </w:rPr>
        <w:t>.</w:t>
      </w:r>
      <w:r w:rsidR="00E91D96" w:rsidRPr="00AB0EFA">
        <w:rPr>
          <w:rFonts w:ascii="Verdana" w:hAnsi="Verdana"/>
          <w:b w:val="0"/>
          <w:bCs w:val="0"/>
          <w:i w:val="0"/>
          <w:iCs w:val="0"/>
          <w:color w:val="auto"/>
          <w:sz w:val="22"/>
          <w:szCs w:val="22"/>
        </w:rPr>
        <w:t>1</w:t>
      </w:r>
      <w:r w:rsidRPr="00AB0EFA">
        <w:rPr>
          <w:rFonts w:ascii="Verdana" w:hAnsi="Verdana"/>
          <w:b w:val="0"/>
          <w:bCs w:val="0"/>
          <w:i w:val="0"/>
          <w:iCs w:val="0"/>
          <w:color w:val="auto"/>
          <w:sz w:val="22"/>
          <w:szCs w:val="22"/>
        </w:rPr>
        <w:t xml:space="preserve"> S.E.) cm, 0.5 (±0.1 S.E.) kg</w:t>
      </w:r>
      <w:r w:rsidR="006F4D87" w:rsidRPr="00AB0EFA">
        <w:rPr>
          <w:rFonts w:ascii="Verdana" w:hAnsi="Verdana"/>
          <w:b w:val="0"/>
          <w:bCs w:val="0"/>
          <w:i w:val="0"/>
          <w:iCs w:val="0"/>
          <w:color w:val="auto"/>
          <w:sz w:val="22"/>
          <w:szCs w:val="22"/>
        </w:rPr>
        <w:t>, respectively</w:t>
      </w:r>
      <w:r w:rsidR="00777EF8" w:rsidRPr="00AB0EFA">
        <w:rPr>
          <w:rFonts w:ascii="Verdana" w:hAnsi="Verdana"/>
          <w:b w:val="0"/>
          <w:bCs w:val="0"/>
          <w:i w:val="0"/>
          <w:iCs w:val="0"/>
          <w:color w:val="auto"/>
          <w:sz w:val="22"/>
          <w:szCs w:val="22"/>
        </w:rPr>
        <w:t xml:space="preserve"> (</w:t>
      </w:r>
      <w:r w:rsidR="00375B46" w:rsidRPr="00AB0EFA">
        <w:rPr>
          <w:rFonts w:ascii="Verdana" w:hAnsi="Verdana"/>
          <w:b w:val="0"/>
          <w:bCs w:val="0"/>
          <w:i w:val="0"/>
          <w:iCs w:val="0"/>
          <w:color w:val="auto"/>
          <w:sz w:val="22"/>
          <w:szCs w:val="22"/>
        </w:rPr>
        <w:t xml:space="preserve">Figure 3, </w:t>
      </w:r>
      <w:r w:rsidR="00777EF8" w:rsidRPr="00AB0EFA">
        <w:rPr>
          <w:rFonts w:ascii="Verdana" w:hAnsi="Verdana"/>
          <w:b w:val="0"/>
          <w:bCs w:val="0"/>
          <w:i w:val="0"/>
          <w:iCs w:val="0"/>
          <w:color w:val="auto"/>
          <w:sz w:val="22"/>
          <w:szCs w:val="22"/>
        </w:rPr>
        <w:t>Table 1)</w:t>
      </w:r>
      <w:r w:rsidRPr="00AB0EFA">
        <w:rPr>
          <w:rFonts w:ascii="Verdana" w:hAnsi="Verdana"/>
          <w:b w:val="0"/>
          <w:bCs w:val="0"/>
          <w:i w:val="0"/>
          <w:iCs w:val="0"/>
          <w:color w:val="auto"/>
          <w:sz w:val="22"/>
          <w:szCs w:val="22"/>
        </w:rPr>
        <w:t>.</w:t>
      </w:r>
    </w:p>
    <w:p w14:paraId="67A56E5C" w14:textId="1B080E99" w:rsidR="006F4D87" w:rsidRPr="00AB0EFA" w:rsidRDefault="00145473" w:rsidP="00AB0EFA">
      <w:pPr>
        <w:jc w:val="both"/>
        <w:rPr>
          <w:rFonts w:ascii="Verdana" w:hAnsi="Verdana"/>
          <w:i w:val="0"/>
          <w:iCs w:val="0"/>
          <w:sz w:val="22"/>
          <w:szCs w:val="22"/>
        </w:rPr>
      </w:pPr>
      <w:r w:rsidRPr="00AB0EFA">
        <w:rPr>
          <w:rFonts w:ascii="Verdana" w:hAnsi="Verdana"/>
          <w:i w:val="0"/>
          <w:iCs w:val="0"/>
          <w:sz w:val="22"/>
          <w:szCs w:val="22"/>
        </w:rPr>
        <w:lastRenderedPageBreak/>
        <w:t xml:space="preserve">Across sites, the density of sea cucumbers varied </w:t>
      </w:r>
      <w:r w:rsidR="00AB0EFA">
        <w:rPr>
          <w:rFonts w:ascii="Verdana" w:hAnsi="Verdana"/>
          <w:i w:val="0"/>
          <w:iCs w:val="0"/>
          <w:sz w:val="22"/>
          <w:szCs w:val="22"/>
        </w:rPr>
        <w:t>from</w:t>
      </w:r>
      <w:r w:rsidRPr="00AB0EFA">
        <w:rPr>
          <w:rFonts w:ascii="Verdana" w:hAnsi="Verdana"/>
          <w:i w:val="0"/>
          <w:iCs w:val="0"/>
          <w:sz w:val="22"/>
          <w:szCs w:val="22"/>
        </w:rPr>
        <w:t xml:space="preserve"> </w:t>
      </w:r>
      <w:r w:rsidR="003E1ADA">
        <w:rPr>
          <w:rFonts w:ascii="Verdana" w:hAnsi="Verdana"/>
          <w:i w:val="0"/>
          <w:iCs w:val="0"/>
          <w:sz w:val="22"/>
          <w:szCs w:val="22"/>
        </w:rPr>
        <w:t>0</w:t>
      </w:r>
      <w:r w:rsidRPr="00AB0EFA">
        <w:rPr>
          <w:rFonts w:ascii="Verdana" w:hAnsi="Verdana"/>
          <w:i w:val="0"/>
          <w:iCs w:val="0"/>
          <w:sz w:val="22"/>
          <w:szCs w:val="22"/>
        </w:rPr>
        <w:t xml:space="preserve"> to </w:t>
      </w:r>
      <w:r w:rsidR="00064829">
        <w:rPr>
          <w:rFonts w:ascii="Verdana" w:hAnsi="Verdana"/>
          <w:i w:val="0"/>
          <w:iCs w:val="0"/>
          <w:sz w:val="22"/>
          <w:szCs w:val="22"/>
        </w:rPr>
        <w:t>8</w:t>
      </w:r>
      <w:r w:rsidRPr="00AB0EFA">
        <w:rPr>
          <w:rFonts w:ascii="Verdana" w:hAnsi="Verdana"/>
          <w:i w:val="0"/>
          <w:iCs w:val="0"/>
          <w:sz w:val="22"/>
          <w:szCs w:val="22"/>
        </w:rPr>
        <w:t>7</w:t>
      </w:r>
      <w:r w:rsidR="00064829">
        <w:rPr>
          <w:rFonts w:ascii="Verdana" w:hAnsi="Verdana"/>
          <w:i w:val="0"/>
          <w:iCs w:val="0"/>
          <w:sz w:val="22"/>
          <w:szCs w:val="22"/>
        </w:rPr>
        <w:t>.</w:t>
      </w:r>
      <w:r w:rsidRPr="00AB0EFA">
        <w:rPr>
          <w:rFonts w:ascii="Verdana" w:hAnsi="Verdana"/>
          <w:i w:val="0"/>
          <w:iCs w:val="0"/>
          <w:sz w:val="22"/>
          <w:szCs w:val="22"/>
        </w:rPr>
        <w:t xml:space="preserve">5 per </w:t>
      </w:r>
      <w:r w:rsidR="00064829">
        <w:rPr>
          <w:rFonts w:ascii="Verdana" w:hAnsi="Verdana"/>
          <w:i w:val="0"/>
          <w:iCs w:val="0"/>
          <w:sz w:val="22"/>
          <w:szCs w:val="22"/>
        </w:rPr>
        <w:t>h</w:t>
      </w:r>
      <w:r w:rsidRPr="00AB0EFA">
        <w:rPr>
          <w:rFonts w:ascii="Verdana" w:hAnsi="Verdana"/>
          <w:i w:val="0"/>
          <w:iCs w:val="0"/>
          <w:sz w:val="22"/>
          <w:szCs w:val="22"/>
        </w:rPr>
        <w:t xml:space="preserve">a in 2020, and from </w:t>
      </w:r>
      <w:r w:rsidR="003E1ADA">
        <w:rPr>
          <w:rFonts w:ascii="Verdana" w:hAnsi="Verdana"/>
          <w:i w:val="0"/>
          <w:iCs w:val="0"/>
          <w:sz w:val="22"/>
          <w:szCs w:val="22"/>
        </w:rPr>
        <w:t>0</w:t>
      </w:r>
      <w:r w:rsidRPr="00AB0EFA">
        <w:rPr>
          <w:rFonts w:ascii="Verdana" w:hAnsi="Verdana"/>
          <w:i w:val="0"/>
          <w:iCs w:val="0"/>
          <w:sz w:val="22"/>
          <w:szCs w:val="22"/>
        </w:rPr>
        <w:t xml:space="preserve"> to </w:t>
      </w:r>
      <w:r w:rsidR="00064829">
        <w:rPr>
          <w:rFonts w:ascii="Verdana" w:hAnsi="Verdana"/>
          <w:i w:val="0"/>
          <w:iCs w:val="0"/>
          <w:sz w:val="22"/>
          <w:szCs w:val="22"/>
        </w:rPr>
        <w:t>112.</w:t>
      </w:r>
      <w:r w:rsidRPr="00AB0EFA">
        <w:rPr>
          <w:rFonts w:ascii="Verdana" w:hAnsi="Verdana"/>
          <w:i w:val="0"/>
          <w:iCs w:val="0"/>
          <w:sz w:val="22"/>
          <w:szCs w:val="22"/>
        </w:rPr>
        <w:t xml:space="preserve">5 per </w:t>
      </w:r>
      <w:r w:rsidR="00064829">
        <w:rPr>
          <w:rFonts w:ascii="Verdana" w:hAnsi="Verdana"/>
          <w:i w:val="0"/>
          <w:iCs w:val="0"/>
          <w:sz w:val="22"/>
          <w:szCs w:val="22"/>
        </w:rPr>
        <w:t>h</w:t>
      </w:r>
      <w:r w:rsidRPr="00AB0EFA">
        <w:rPr>
          <w:rFonts w:ascii="Verdana" w:hAnsi="Verdana"/>
          <w:i w:val="0"/>
          <w:iCs w:val="0"/>
          <w:sz w:val="22"/>
          <w:szCs w:val="22"/>
        </w:rPr>
        <w:t xml:space="preserve">a in 2021 (Figure </w:t>
      </w:r>
      <w:r w:rsidR="00140B57" w:rsidRPr="00AB0EFA">
        <w:rPr>
          <w:rFonts w:ascii="Verdana" w:hAnsi="Verdana"/>
          <w:i w:val="0"/>
          <w:iCs w:val="0"/>
          <w:sz w:val="22"/>
          <w:szCs w:val="22"/>
        </w:rPr>
        <w:t>4</w:t>
      </w:r>
      <w:r w:rsidRPr="00AB0EFA">
        <w:rPr>
          <w:rFonts w:ascii="Verdana" w:hAnsi="Verdana"/>
          <w:i w:val="0"/>
          <w:iCs w:val="0"/>
          <w:sz w:val="22"/>
          <w:szCs w:val="22"/>
        </w:rPr>
        <w:t xml:space="preserve">). For both years, Bank 1 and East Snake Bank sites had the highest densities, while in </w:t>
      </w:r>
      <w:r w:rsidR="00882B16" w:rsidRPr="00AB0EFA">
        <w:rPr>
          <w:rFonts w:ascii="Verdana" w:hAnsi="Verdana"/>
          <w:i w:val="0"/>
          <w:iCs w:val="0"/>
          <w:sz w:val="22"/>
          <w:szCs w:val="22"/>
        </w:rPr>
        <w:t xml:space="preserve">2020, Abalone </w:t>
      </w:r>
      <w:proofErr w:type="spellStart"/>
      <w:r w:rsidR="00882B16" w:rsidRPr="00AB0EFA">
        <w:rPr>
          <w:rFonts w:ascii="Verdana" w:hAnsi="Verdana"/>
          <w:i w:val="0"/>
          <w:iCs w:val="0"/>
          <w:sz w:val="22"/>
          <w:szCs w:val="22"/>
        </w:rPr>
        <w:t>Caye</w:t>
      </w:r>
      <w:proofErr w:type="spellEnd"/>
      <w:r w:rsidR="00882B16" w:rsidRPr="00AB0EFA">
        <w:rPr>
          <w:rFonts w:ascii="Verdana" w:hAnsi="Verdana"/>
          <w:i w:val="0"/>
          <w:iCs w:val="0"/>
          <w:sz w:val="22"/>
          <w:szCs w:val="22"/>
        </w:rPr>
        <w:t xml:space="preserve"> had one of the highest densities</w:t>
      </w:r>
      <w:r w:rsidR="00AB0EFA">
        <w:rPr>
          <w:rFonts w:ascii="Verdana" w:hAnsi="Verdana"/>
          <w:i w:val="0"/>
          <w:iCs w:val="0"/>
          <w:sz w:val="22"/>
          <w:szCs w:val="22"/>
        </w:rPr>
        <w:t>,</w:t>
      </w:r>
      <w:r w:rsidR="00882B16" w:rsidRPr="00AB0EFA">
        <w:rPr>
          <w:rFonts w:ascii="Verdana" w:hAnsi="Verdana"/>
          <w:i w:val="0"/>
          <w:iCs w:val="0"/>
          <w:sz w:val="22"/>
          <w:szCs w:val="22"/>
        </w:rPr>
        <w:t xml:space="preserve"> and in </w:t>
      </w:r>
      <w:r w:rsidRPr="00AB0EFA">
        <w:rPr>
          <w:rFonts w:ascii="Verdana" w:hAnsi="Verdana"/>
          <w:i w:val="0"/>
          <w:iCs w:val="0"/>
          <w:sz w:val="22"/>
          <w:szCs w:val="22"/>
        </w:rPr>
        <w:t>2021</w:t>
      </w:r>
      <w:r w:rsidR="00882B16" w:rsidRPr="00AB0EFA">
        <w:rPr>
          <w:rFonts w:ascii="Verdana" w:hAnsi="Verdana"/>
          <w:i w:val="0"/>
          <w:iCs w:val="0"/>
          <w:sz w:val="22"/>
          <w:szCs w:val="22"/>
        </w:rPr>
        <w:t>,</w:t>
      </w:r>
      <w:r w:rsidRPr="00AB0EFA">
        <w:rPr>
          <w:rFonts w:ascii="Verdana" w:hAnsi="Verdana"/>
          <w:i w:val="0"/>
          <w:iCs w:val="0"/>
          <w:sz w:val="22"/>
          <w:szCs w:val="22"/>
        </w:rPr>
        <w:t xml:space="preserve"> Punta </w:t>
      </w:r>
      <w:proofErr w:type="spellStart"/>
      <w:r w:rsidRPr="00AB0EFA">
        <w:rPr>
          <w:rFonts w:ascii="Verdana" w:hAnsi="Verdana"/>
          <w:i w:val="0"/>
          <w:iCs w:val="0"/>
          <w:sz w:val="22"/>
          <w:szCs w:val="22"/>
        </w:rPr>
        <w:t>Ycacos</w:t>
      </w:r>
      <w:proofErr w:type="spellEnd"/>
      <w:r w:rsidRPr="00AB0EFA">
        <w:rPr>
          <w:rFonts w:ascii="Verdana" w:hAnsi="Verdana"/>
          <w:i w:val="0"/>
          <w:iCs w:val="0"/>
          <w:sz w:val="22"/>
          <w:szCs w:val="22"/>
        </w:rPr>
        <w:t xml:space="preserve"> also had </w:t>
      </w:r>
      <w:r w:rsidR="00882B16" w:rsidRPr="00AB0EFA">
        <w:rPr>
          <w:rFonts w:ascii="Verdana" w:hAnsi="Verdana"/>
          <w:i w:val="0"/>
          <w:iCs w:val="0"/>
          <w:sz w:val="22"/>
          <w:szCs w:val="22"/>
        </w:rPr>
        <w:t>one of t</w:t>
      </w:r>
      <w:r w:rsidRPr="00AB0EFA">
        <w:rPr>
          <w:rFonts w:ascii="Verdana" w:hAnsi="Verdana"/>
          <w:i w:val="0"/>
          <w:iCs w:val="0"/>
          <w:sz w:val="22"/>
          <w:szCs w:val="22"/>
        </w:rPr>
        <w:t xml:space="preserve">he highest densities of sea cucumbers (Figure </w:t>
      </w:r>
      <w:r w:rsidR="00140B57" w:rsidRPr="00AB0EFA">
        <w:rPr>
          <w:rFonts w:ascii="Verdana" w:hAnsi="Verdana"/>
          <w:i w:val="0"/>
          <w:iCs w:val="0"/>
          <w:sz w:val="22"/>
          <w:szCs w:val="22"/>
        </w:rPr>
        <w:t>4</w:t>
      </w:r>
      <w:r w:rsidRPr="00AB0EFA">
        <w:rPr>
          <w:rFonts w:ascii="Verdana" w:hAnsi="Verdana"/>
          <w:i w:val="0"/>
          <w:iCs w:val="0"/>
          <w:sz w:val="22"/>
          <w:szCs w:val="22"/>
        </w:rPr>
        <w:t>).</w:t>
      </w:r>
      <w:r w:rsidR="00882B16" w:rsidRPr="00AB0EFA">
        <w:rPr>
          <w:rFonts w:ascii="Verdana" w:hAnsi="Verdana"/>
          <w:i w:val="0"/>
          <w:iCs w:val="0"/>
          <w:sz w:val="22"/>
          <w:szCs w:val="22"/>
        </w:rPr>
        <w:t xml:space="preserve"> In 2020, 7 of </w:t>
      </w:r>
      <w:r w:rsidR="003E0E2E">
        <w:rPr>
          <w:rFonts w:ascii="Verdana" w:hAnsi="Verdana"/>
          <w:i w:val="0"/>
          <w:iCs w:val="0"/>
          <w:sz w:val="22"/>
          <w:szCs w:val="22"/>
        </w:rPr>
        <w:t xml:space="preserve">the </w:t>
      </w:r>
      <w:r w:rsidR="00882B16" w:rsidRPr="00AB0EFA">
        <w:rPr>
          <w:rFonts w:ascii="Verdana" w:hAnsi="Verdana"/>
          <w:i w:val="0"/>
          <w:iCs w:val="0"/>
          <w:sz w:val="22"/>
          <w:szCs w:val="22"/>
        </w:rPr>
        <w:t>12 general use zone</w:t>
      </w:r>
      <w:r w:rsidR="003E0E2E">
        <w:rPr>
          <w:rFonts w:ascii="Verdana" w:hAnsi="Verdana"/>
          <w:i w:val="0"/>
          <w:iCs w:val="0"/>
          <w:sz w:val="22"/>
          <w:szCs w:val="22"/>
        </w:rPr>
        <w:t xml:space="preserve"> sites</w:t>
      </w:r>
      <w:r w:rsidR="00882B16" w:rsidRPr="00AB0EFA">
        <w:rPr>
          <w:rFonts w:ascii="Verdana" w:hAnsi="Verdana"/>
          <w:i w:val="0"/>
          <w:iCs w:val="0"/>
          <w:sz w:val="22"/>
          <w:szCs w:val="22"/>
        </w:rPr>
        <w:t xml:space="preserve">, 4 of </w:t>
      </w:r>
      <w:r w:rsidR="003E0E2E">
        <w:rPr>
          <w:rFonts w:ascii="Verdana" w:hAnsi="Verdana"/>
          <w:i w:val="0"/>
          <w:iCs w:val="0"/>
          <w:sz w:val="22"/>
          <w:szCs w:val="22"/>
        </w:rPr>
        <w:t xml:space="preserve">the </w:t>
      </w:r>
      <w:r w:rsidR="00882B16" w:rsidRPr="00AB0EFA">
        <w:rPr>
          <w:rFonts w:ascii="Verdana" w:hAnsi="Verdana"/>
          <w:i w:val="0"/>
          <w:iCs w:val="0"/>
          <w:sz w:val="22"/>
          <w:szCs w:val="22"/>
        </w:rPr>
        <w:t xml:space="preserve">5 replenishment zones and all 5 of the outside sites, had no sea cucumbers (Figure </w:t>
      </w:r>
      <w:r w:rsidR="00140B57" w:rsidRPr="00AB0EFA">
        <w:rPr>
          <w:rFonts w:ascii="Verdana" w:hAnsi="Verdana"/>
          <w:i w:val="0"/>
          <w:iCs w:val="0"/>
          <w:sz w:val="22"/>
          <w:szCs w:val="22"/>
        </w:rPr>
        <w:t>4</w:t>
      </w:r>
      <w:r w:rsidR="00882B16" w:rsidRPr="00AB0EFA">
        <w:rPr>
          <w:rFonts w:ascii="Verdana" w:hAnsi="Verdana"/>
          <w:i w:val="0"/>
          <w:iCs w:val="0"/>
          <w:sz w:val="22"/>
          <w:szCs w:val="22"/>
        </w:rPr>
        <w:t xml:space="preserve">). In 2021, only 3 of </w:t>
      </w:r>
      <w:r w:rsidR="003E0E2E">
        <w:rPr>
          <w:rFonts w:ascii="Verdana" w:hAnsi="Verdana"/>
          <w:i w:val="0"/>
          <w:iCs w:val="0"/>
          <w:sz w:val="22"/>
          <w:szCs w:val="22"/>
        </w:rPr>
        <w:t xml:space="preserve">the </w:t>
      </w:r>
      <w:r w:rsidR="00882B16" w:rsidRPr="00AB0EFA">
        <w:rPr>
          <w:rFonts w:ascii="Verdana" w:hAnsi="Verdana"/>
          <w:i w:val="0"/>
          <w:iCs w:val="0"/>
          <w:sz w:val="22"/>
          <w:szCs w:val="22"/>
        </w:rPr>
        <w:t>12 general use zone</w:t>
      </w:r>
      <w:r w:rsidR="003E0E2E">
        <w:rPr>
          <w:rFonts w:ascii="Verdana" w:hAnsi="Verdana"/>
          <w:i w:val="0"/>
          <w:iCs w:val="0"/>
          <w:sz w:val="22"/>
          <w:szCs w:val="22"/>
        </w:rPr>
        <w:t xml:space="preserve"> sites </w:t>
      </w:r>
      <w:r w:rsidR="00882B16" w:rsidRPr="00AB0EFA">
        <w:rPr>
          <w:rFonts w:ascii="Verdana" w:hAnsi="Verdana"/>
          <w:i w:val="0"/>
          <w:iCs w:val="0"/>
          <w:sz w:val="22"/>
          <w:szCs w:val="22"/>
        </w:rPr>
        <w:t>had no sea cucumbers</w:t>
      </w:r>
      <w:r w:rsidR="003E0E2E">
        <w:rPr>
          <w:rFonts w:ascii="Verdana" w:hAnsi="Verdana"/>
          <w:i w:val="0"/>
          <w:iCs w:val="0"/>
          <w:sz w:val="22"/>
          <w:szCs w:val="22"/>
        </w:rPr>
        <w:t xml:space="preserve">, while </w:t>
      </w:r>
      <w:r w:rsidR="00882B16" w:rsidRPr="00AB0EFA">
        <w:rPr>
          <w:rFonts w:ascii="Verdana" w:hAnsi="Verdana"/>
          <w:i w:val="0"/>
          <w:iCs w:val="0"/>
          <w:sz w:val="22"/>
          <w:szCs w:val="22"/>
        </w:rPr>
        <w:t>all replenishment zones and all outside sites, had no sea cucumbers</w:t>
      </w:r>
      <w:r w:rsidR="00F7562A">
        <w:rPr>
          <w:rFonts w:ascii="Verdana" w:hAnsi="Verdana"/>
          <w:i w:val="0"/>
          <w:iCs w:val="0"/>
          <w:sz w:val="22"/>
          <w:szCs w:val="22"/>
        </w:rPr>
        <w:t xml:space="preserve"> (Figure 4)</w:t>
      </w:r>
      <w:r w:rsidR="00882B16" w:rsidRPr="00AB0EFA">
        <w:rPr>
          <w:rFonts w:ascii="Verdana" w:hAnsi="Verdana"/>
          <w:i w:val="0"/>
          <w:iCs w:val="0"/>
          <w:sz w:val="22"/>
          <w:szCs w:val="22"/>
        </w:rPr>
        <w:t>.</w:t>
      </w:r>
    </w:p>
    <w:p w14:paraId="07C6279C" w14:textId="35D52E8E" w:rsidR="002F767B" w:rsidRPr="00AB0EFA" w:rsidRDefault="002F767B" w:rsidP="00AB0EFA">
      <w:pPr>
        <w:jc w:val="both"/>
        <w:rPr>
          <w:rFonts w:ascii="Verdana" w:hAnsi="Verdana"/>
          <w:i w:val="0"/>
          <w:iCs w:val="0"/>
          <w:sz w:val="22"/>
          <w:szCs w:val="22"/>
        </w:rPr>
      </w:pPr>
      <w:r w:rsidRPr="00AB0EFA">
        <w:rPr>
          <w:rFonts w:ascii="Verdana" w:hAnsi="Verdana"/>
          <w:i w:val="0"/>
          <w:iCs w:val="0"/>
          <w:sz w:val="22"/>
          <w:szCs w:val="22"/>
        </w:rPr>
        <w:t xml:space="preserve">Sea cucumber length, width and weight showed slight variation across the sites. Length ranged from 20.2 to 24.9 cm, </w:t>
      </w:r>
      <w:r w:rsidRPr="007E43E2">
        <w:rPr>
          <w:rFonts w:ascii="Verdana" w:hAnsi="Verdana"/>
          <w:i w:val="0"/>
          <w:iCs w:val="0"/>
          <w:sz w:val="22"/>
          <w:szCs w:val="22"/>
        </w:rPr>
        <w:t xml:space="preserve">width ranged from 0.5 to 2.1 cm and weight ranged from 0.5 to 0.8 kg, in 2020 (Figures </w:t>
      </w:r>
      <w:r w:rsidR="00140B57" w:rsidRPr="007E43E2">
        <w:rPr>
          <w:rFonts w:ascii="Verdana" w:hAnsi="Verdana"/>
          <w:i w:val="0"/>
          <w:iCs w:val="0"/>
          <w:sz w:val="22"/>
          <w:szCs w:val="22"/>
        </w:rPr>
        <w:t>5</w:t>
      </w:r>
      <w:r w:rsidRPr="007E43E2">
        <w:rPr>
          <w:rFonts w:ascii="Verdana" w:hAnsi="Verdana"/>
          <w:i w:val="0"/>
          <w:iCs w:val="0"/>
          <w:sz w:val="22"/>
          <w:szCs w:val="22"/>
        </w:rPr>
        <w:t>-</w:t>
      </w:r>
      <w:r w:rsidR="00140B57" w:rsidRPr="007E43E2">
        <w:rPr>
          <w:rFonts w:ascii="Verdana" w:hAnsi="Verdana"/>
          <w:i w:val="0"/>
          <w:iCs w:val="0"/>
          <w:sz w:val="22"/>
          <w:szCs w:val="22"/>
        </w:rPr>
        <w:t>7</w:t>
      </w:r>
      <w:r w:rsidRPr="007E43E2">
        <w:rPr>
          <w:rFonts w:ascii="Verdana" w:hAnsi="Verdana"/>
          <w:i w:val="0"/>
          <w:iCs w:val="0"/>
          <w:sz w:val="22"/>
          <w:szCs w:val="22"/>
        </w:rPr>
        <w:t xml:space="preserve">). For 2021, length </w:t>
      </w:r>
      <w:r w:rsidR="001A75F8" w:rsidRPr="007E43E2">
        <w:rPr>
          <w:rFonts w:ascii="Verdana" w:hAnsi="Verdana"/>
          <w:i w:val="0"/>
          <w:iCs w:val="0"/>
          <w:sz w:val="22"/>
          <w:szCs w:val="22"/>
        </w:rPr>
        <w:t>was slightly higher</w:t>
      </w:r>
      <w:r w:rsidR="001A75F8" w:rsidRPr="00AB0EFA">
        <w:rPr>
          <w:rFonts w:ascii="Verdana" w:hAnsi="Verdana"/>
          <w:i w:val="0"/>
          <w:iCs w:val="0"/>
          <w:sz w:val="22"/>
          <w:szCs w:val="22"/>
        </w:rPr>
        <w:t xml:space="preserve">, </w:t>
      </w:r>
      <w:r w:rsidRPr="00AB0EFA">
        <w:rPr>
          <w:rFonts w:ascii="Verdana" w:hAnsi="Verdana"/>
          <w:i w:val="0"/>
          <w:iCs w:val="0"/>
          <w:sz w:val="22"/>
          <w:szCs w:val="22"/>
        </w:rPr>
        <w:t>rang</w:t>
      </w:r>
      <w:r w:rsidR="001A75F8" w:rsidRPr="00AB0EFA">
        <w:rPr>
          <w:rFonts w:ascii="Verdana" w:hAnsi="Verdana"/>
          <w:i w:val="0"/>
          <w:iCs w:val="0"/>
          <w:sz w:val="22"/>
          <w:szCs w:val="22"/>
        </w:rPr>
        <w:t xml:space="preserve">ing </w:t>
      </w:r>
      <w:r w:rsidRPr="00AB0EFA">
        <w:rPr>
          <w:rFonts w:ascii="Verdana" w:hAnsi="Verdana"/>
          <w:i w:val="0"/>
          <w:iCs w:val="0"/>
          <w:sz w:val="22"/>
          <w:szCs w:val="22"/>
        </w:rPr>
        <w:t>from 2</w:t>
      </w:r>
      <w:r w:rsidR="001A75F8" w:rsidRPr="00AB0EFA">
        <w:rPr>
          <w:rFonts w:ascii="Verdana" w:hAnsi="Verdana"/>
          <w:i w:val="0"/>
          <w:iCs w:val="0"/>
          <w:sz w:val="22"/>
          <w:szCs w:val="22"/>
        </w:rPr>
        <w:t>1</w:t>
      </w:r>
      <w:r w:rsidRPr="00AB0EFA">
        <w:rPr>
          <w:rFonts w:ascii="Verdana" w:hAnsi="Verdana"/>
          <w:i w:val="0"/>
          <w:iCs w:val="0"/>
          <w:sz w:val="22"/>
          <w:szCs w:val="22"/>
        </w:rPr>
        <w:t>.</w:t>
      </w:r>
      <w:r w:rsidR="001A75F8" w:rsidRPr="00AB0EFA">
        <w:rPr>
          <w:rFonts w:ascii="Verdana" w:hAnsi="Verdana"/>
          <w:i w:val="0"/>
          <w:iCs w:val="0"/>
          <w:sz w:val="22"/>
          <w:szCs w:val="22"/>
        </w:rPr>
        <w:t>0</w:t>
      </w:r>
      <w:r w:rsidRPr="00AB0EFA">
        <w:rPr>
          <w:rFonts w:ascii="Verdana" w:hAnsi="Verdana"/>
          <w:i w:val="0"/>
          <w:iCs w:val="0"/>
          <w:sz w:val="22"/>
          <w:szCs w:val="22"/>
        </w:rPr>
        <w:t xml:space="preserve"> to 2</w:t>
      </w:r>
      <w:r w:rsidR="001A75F8" w:rsidRPr="00AB0EFA">
        <w:rPr>
          <w:rFonts w:ascii="Verdana" w:hAnsi="Verdana"/>
          <w:i w:val="0"/>
          <w:iCs w:val="0"/>
          <w:sz w:val="22"/>
          <w:szCs w:val="22"/>
        </w:rPr>
        <w:t>6</w:t>
      </w:r>
      <w:r w:rsidRPr="00AB0EFA">
        <w:rPr>
          <w:rFonts w:ascii="Verdana" w:hAnsi="Verdana"/>
          <w:i w:val="0"/>
          <w:iCs w:val="0"/>
          <w:sz w:val="22"/>
          <w:szCs w:val="22"/>
        </w:rPr>
        <w:t>.</w:t>
      </w:r>
      <w:r w:rsidR="001A75F8" w:rsidRPr="00AB0EFA">
        <w:rPr>
          <w:rFonts w:ascii="Verdana" w:hAnsi="Verdana"/>
          <w:i w:val="0"/>
          <w:iCs w:val="0"/>
          <w:sz w:val="22"/>
          <w:szCs w:val="22"/>
        </w:rPr>
        <w:t>5</w:t>
      </w:r>
      <w:r w:rsidRPr="00AB0EFA">
        <w:rPr>
          <w:rFonts w:ascii="Verdana" w:hAnsi="Verdana"/>
          <w:i w:val="0"/>
          <w:iCs w:val="0"/>
          <w:sz w:val="22"/>
          <w:szCs w:val="22"/>
        </w:rPr>
        <w:t xml:space="preserve"> cm</w:t>
      </w:r>
      <w:r w:rsidR="00523971" w:rsidRPr="00AB0EFA">
        <w:rPr>
          <w:rFonts w:ascii="Verdana" w:hAnsi="Verdana"/>
          <w:i w:val="0"/>
          <w:iCs w:val="0"/>
          <w:sz w:val="22"/>
          <w:szCs w:val="22"/>
        </w:rPr>
        <w:t xml:space="preserve"> (Figure 5)</w:t>
      </w:r>
      <w:r w:rsidR="001A75F8" w:rsidRPr="00AB0EFA">
        <w:rPr>
          <w:rFonts w:ascii="Verdana" w:hAnsi="Verdana"/>
          <w:i w:val="0"/>
          <w:iCs w:val="0"/>
          <w:sz w:val="22"/>
          <w:szCs w:val="22"/>
        </w:rPr>
        <w:t>. W</w:t>
      </w:r>
      <w:r w:rsidRPr="00AB0EFA">
        <w:rPr>
          <w:rFonts w:ascii="Verdana" w:hAnsi="Verdana"/>
          <w:i w:val="0"/>
          <w:iCs w:val="0"/>
          <w:sz w:val="22"/>
          <w:szCs w:val="22"/>
        </w:rPr>
        <w:t xml:space="preserve">idth </w:t>
      </w:r>
      <w:r w:rsidR="00AB0EFA">
        <w:rPr>
          <w:rFonts w:ascii="Verdana" w:hAnsi="Verdana"/>
          <w:i w:val="0"/>
          <w:iCs w:val="0"/>
          <w:sz w:val="22"/>
          <w:szCs w:val="22"/>
        </w:rPr>
        <w:t>was</w:t>
      </w:r>
      <w:r w:rsidR="001A75F8" w:rsidRPr="00AB0EFA">
        <w:rPr>
          <w:rFonts w:ascii="Verdana" w:hAnsi="Verdana"/>
          <w:i w:val="0"/>
          <w:iCs w:val="0"/>
          <w:sz w:val="22"/>
          <w:szCs w:val="22"/>
        </w:rPr>
        <w:t xml:space="preserve"> slightly smaller, r</w:t>
      </w:r>
      <w:r w:rsidRPr="00AB0EFA">
        <w:rPr>
          <w:rFonts w:ascii="Verdana" w:hAnsi="Verdana"/>
          <w:i w:val="0"/>
          <w:iCs w:val="0"/>
          <w:sz w:val="22"/>
          <w:szCs w:val="22"/>
        </w:rPr>
        <w:t>ang</w:t>
      </w:r>
      <w:r w:rsidR="001A75F8" w:rsidRPr="00AB0EFA">
        <w:rPr>
          <w:rFonts w:ascii="Verdana" w:hAnsi="Verdana"/>
          <w:i w:val="0"/>
          <w:iCs w:val="0"/>
          <w:sz w:val="22"/>
          <w:szCs w:val="22"/>
        </w:rPr>
        <w:t>ing</w:t>
      </w:r>
      <w:r w:rsidRPr="00AB0EFA">
        <w:rPr>
          <w:rFonts w:ascii="Verdana" w:hAnsi="Verdana"/>
          <w:i w:val="0"/>
          <w:iCs w:val="0"/>
          <w:sz w:val="22"/>
          <w:szCs w:val="22"/>
        </w:rPr>
        <w:t xml:space="preserve"> from 0.</w:t>
      </w:r>
      <w:r w:rsidR="001A75F8" w:rsidRPr="00AB0EFA">
        <w:rPr>
          <w:rFonts w:ascii="Verdana" w:hAnsi="Verdana"/>
          <w:i w:val="0"/>
          <w:iCs w:val="0"/>
          <w:sz w:val="22"/>
          <w:szCs w:val="22"/>
        </w:rPr>
        <w:t>4</w:t>
      </w:r>
      <w:r w:rsidRPr="00AB0EFA">
        <w:rPr>
          <w:rFonts w:ascii="Verdana" w:hAnsi="Verdana"/>
          <w:i w:val="0"/>
          <w:iCs w:val="0"/>
          <w:sz w:val="22"/>
          <w:szCs w:val="22"/>
        </w:rPr>
        <w:t xml:space="preserve"> to </w:t>
      </w:r>
      <w:r w:rsidR="001A75F8" w:rsidRPr="00AB0EFA">
        <w:rPr>
          <w:rFonts w:ascii="Verdana" w:hAnsi="Verdana"/>
          <w:i w:val="0"/>
          <w:iCs w:val="0"/>
          <w:sz w:val="22"/>
          <w:szCs w:val="22"/>
        </w:rPr>
        <w:t>0.7</w:t>
      </w:r>
      <w:r w:rsidRPr="00AB0EFA">
        <w:rPr>
          <w:rFonts w:ascii="Verdana" w:hAnsi="Verdana"/>
          <w:i w:val="0"/>
          <w:iCs w:val="0"/>
          <w:sz w:val="22"/>
          <w:szCs w:val="22"/>
        </w:rPr>
        <w:t xml:space="preserve"> cm</w:t>
      </w:r>
      <w:r w:rsidR="001A75F8" w:rsidRPr="00AB0EFA">
        <w:rPr>
          <w:rFonts w:ascii="Verdana" w:hAnsi="Verdana"/>
          <w:i w:val="0"/>
          <w:iCs w:val="0"/>
          <w:sz w:val="22"/>
          <w:szCs w:val="22"/>
        </w:rPr>
        <w:t>,</w:t>
      </w:r>
      <w:r w:rsidRPr="00AB0EFA">
        <w:rPr>
          <w:rFonts w:ascii="Verdana" w:hAnsi="Verdana"/>
          <w:i w:val="0"/>
          <w:iCs w:val="0"/>
          <w:sz w:val="22"/>
          <w:szCs w:val="22"/>
        </w:rPr>
        <w:t xml:space="preserve"> and weight</w:t>
      </w:r>
      <w:r w:rsidR="001A75F8" w:rsidRPr="00AB0EFA">
        <w:rPr>
          <w:rFonts w:ascii="Verdana" w:hAnsi="Verdana"/>
          <w:i w:val="0"/>
          <w:iCs w:val="0"/>
          <w:sz w:val="22"/>
          <w:szCs w:val="22"/>
        </w:rPr>
        <w:t xml:space="preserve"> was also slightly lower</w:t>
      </w:r>
      <w:r w:rsidRPr="00AB0EFA">
        <w:rPr>
          <w:rFonts w:ascii="Verdana" w:hAnsi="Verdana"/>
          <w:i w:val="0"/>
          <w:iCs w:val="0"/>
          <w:sz w:val="22"/>
          <w:szCs w:val="22"/>
        </w:rPr>
        <w:t xml:space="preserve"> ran</w:t>
      </w:r>
      <w:r w:rsidR="001A75F8" w:rsidRPr="00AB0EFA">
        <w:rPr>
          <w:rFonts w:ascii="Verdana" w:hAnsi="Verdana"/>
          <w:i w:val="0"/>
          <w:iCs w:val="0"/>
          <w:sz w:val="22"/>
          <w:szCs w:val="22"/>
        </w:rPr>
        <w:t xml:space="preserve">ging </w:t>
      </w:r>
      <w:r w:rsidRPr="00AB0EFA">
        <w:rPr>
          <w:rFonts w:ascii="Verdana" w:hAnsi="Verdana"/>
          <w:i w:val="0"/>
          <w:iCs w:val="0"/>
          <w:sz w:val="22"/>
          <w:szCs w:val="22"/>
        </w:rPr>
        <w:t>from 0.</w:t>
      </w:r>
      <w:r w:rsidR="001A75F8" w:rsidRPr="00AB0EFA">
        <w:rPr>
          <w:rFonts w:ascii="Verdana" w:hAnsi="Verdana"/>
          <w:i w:val="0"/>
          <w:iCs w:val="0"/>
          <w:sz w:val="22"/>
          <w:szCs w:val="22"/>
        </w:rPr>
        <w:t>3</w:t>
      </w:r>
      <w:r w:rsidRPr="00AB0EFA">
        <w:rPr>
          <w:rFonts w:ascii="Verdana" w:hAnsi="Verdana"/>
          <w:i w:val="0"/>
          <w:iCs w:val="0"/>
          <w:sz w:val="22"/>
          <w:szCs w:val="22"/>
        </w:rPr>
        <w:t xml:space="preserve"> to 0.</w:t>
      </w:r>
      <w:r w:rsidR="001A75F8" w:rsidRPr="00AB0EFA">
        <w:rPr>
          <w:rFonts w:ascii="Verdana" w:hAnsi="Verdana"/>
          <w:i w:val="0"/>
          <w:iCs w:val="0"/>
          <w:sz w:val="22"/>
          <w:szCs w:val="22"/>
        </w:rPr>
        <w:t>7</w:t>
      </w:r>
      <w:r w:rsidRPr="00AB0EFA">
        <w:rPr>
          <w:rFonts w:ascii="Verdana" w:hAnsi="Verdana"/>
          <w:i w:val="0"/>
          <w:iCs w:val="0"/>
          <w:sz w:val="22"/>
          <w:szCs w:val="22"/>
        </w:rPr>
        <w:t xml:space="preserve"> kg</w:t>
      </w:r>
      <w:r w:rsidR="001A75F8" w:rsidRPr="00AB0EFA">
        <w:rPr>
          <w:rFonts w:ascii="Verdana" w:hAnsi="Verdana"/>
          <w:i w:val="0"/>
          <w:iCs w:val="0"/>
          <w:sz w:val="22"/>
          <w:szCs w:val="22"/>
        </w:rPr>
        <w:t xml:space="preserve"> (Figures </w:t>
      </w:r>
      <w:r w:rsidR="00523971" w:rsidRPr="00AB0EFA">
        <w:rPr>
          <w:rFonts w:ascii="Verdana" w:hAnsi="Verdana"/>
          <w:i w:val="0"/>
          <w:iCs w:val="0"/>
          <w:sz w:val="22"/>
          <w:szCs w:val="22"/>
        </w:rPr>
        <w:t>6</w:t>
      </w:r>
      <w:r w:rsidR="001A75F8" w:rsidRPr="00AB0EFA">
        <w:rPr>
          <w:rFonts w:ascii="Verdana" w:hAnsi="Verdana"/>
          <w:i w:val="0"/>
          <w:iCs w:val="0"/>
          <w:sz w:val="22"/>
          <w:szCs w:val="22"/>
        </w:rPr>
        <w:t>-</w:t>
      </w:r>
      <w:r w:rsidR="00523971" w:rsidRPr="00AB0EFA">
        <w:rPr>
          <w:rFonts w:ascii="Verdana" w:hAnsi="Verdana"/>
          <w:i w:val="0"/>
          <w:iCs w:val="0"/>
          <w:sz w:val="22"/>
          <w:szCs w:val="22"/>
        </w:rPr>
        <w:t>7</w:t>
      </w:r>
      <w:r w:rsidR="001A75F8" w:rsidRPr="00AB0EFA">
        <w:rPr>
          <w:rFonts w:ascii="Verdana" w:hAnsi="Verdana"/>
          <w:i w:val="0"/>
          <w:iCs w:val="0"/>
          <w:sz w:val="22"/>
          <w:szCs w:val="22"/>
        </w:rPr>
        <w:t>).</w:t>
      </w:r>
      <w:r w:rsidR="00524B60" w:rsidRPr="00AB0EFA">
        <w:rPr>
          <w:rFonts w:ascii="Verdana" w:hAnsi="Verdana"/>
          <w:i w:val="0"/>
          <w:iCs w:val="0"/>
          <w:sz w:val="22"/>
          <w:szCs w:val="22"/>
        </w:rPr>
        <w:t xml:space="preserve"> The largest sea cucumbers were found at Bank 1 and East Snake Bank for both years (Figure </w:t>
      </w:r>
      <w:r w:rsidR="00523971" w:rsidRPr="00AB0EFA">
        <w:rPr>
          <w:rFonts w:ascii="Verdana" w:hAnsi="Verdana"/>
          <w:i w:val="0"/>
          <w:iCs w:val="0"/>
          <w:sz w:val="22"/>
          <w:szCs w:val="22"/>
        </w:rPr>
        <w:t>5</w:t>
      </w:r>
      <w:r w:rsidR="00524B60" w:rsidRPr="00AB0EFA">
        <w:rPr>
          <w:rFonts w:ascii="Verdana" w:hAnsi="Verdana"/>
          <w:i w:val="0"/>
          <w:iCs w:val="0"/>
          <w:sz w:val="22"/>
          <w:szCs w:val="22"/>
        </w:rPr>
        <w:t xml:space="preserve">). Width and weight fluctuated across the sites, with Bank 1 and East Snake Bank having higher width and weight than the other sites, but New SC-1 and West Snake Bank also had among the higher widths (Figure </w:t>
      </w:r>
      <w:r w:rsidR="00523971" w:rsidRPr="00AB0EFA">
        <w:rPr>
          <w:rFonts w:ascii="Verdana" w:hAnsi="Verdana"/>
          <w:i w:val="0"/>
          <w:iCs w:val="0"/>
          <w:sz w:val="22"/>
          <w:szCs w:val="22"/>
        </w:rPr>
        <w:t>6</w:t>
      </w:r>
      <w:r w:rsidR="00524B60" w:rsidRPr="00AB0EFA">
        <w:rPr>
          <w:rFonts w:ascii="Verdana" w:hAnsi="Verdana"/>
          <w:i w:val="0"/>
          <w:iCs w:val="0"/>
          <w:sz w:val="22"/>
          <w:szCs w:val="22"/>
        </w:rPr>
        <w:t>-</w:t>
      </w:r>
      <w:r w:rsidR="00523971" w:rsidRPr="00AB0EFA">
        <w:rPr>
          <w:rFonts w:ascii="Verdana" w:hAnsi="Verdana"/>
          <w:i w:val="0"/>
          <w:iCs w:val="0"/>
          <w:sz w:val="22"/>
          <w:szCs w:val="22"/>
        </w:rPr>
        <w:t>7</w:t>
      </w:r>
      <w:r w:rsidR="00524B60" w:rsidRPr="00AB0EFA">
        <w:rPr>
          <w:rFonts w:ascii="Verdana" w:hAnsi="Verdana"/>
          <w:i w:val="0"/>
          <w:iCs w:val="0"/>
          <w:sz w:val="22"/>
          <w:szCs w:val="22"/>
        </w:rPr>
        <w:t>).</w:t>
      </w:r>
    </w:p>
    <w:p w14:paraId="3E1A3C5B" w14:textId="6553754A" w:rsidR="001960C8" w:rsidRPr="00622BE6" w:rsidRDefault="00B10404" w:rsidP="00F05CFA">
      <w:pPr>
        <w:pStyle w:val="Caption"/>
        <w:jc w:val="both"/>
        <w:rPr>
          <w:rFonts w:ascii="Verdana" w:hAnsi="Verdana"/>
          <w:b w:val="0"/>
          <w:bCs w:val="0"/>
          <w:color w:val="auto"/>
          <w:sz w:val="22"/>
          <w:szCs w:val="22"/>
        </w:rPr>
      </w:pPr>
      <w:r w:rsidRPr="00AB0EFA">
        <w:rPr>
          <w:rFonts w:ascii="Verdana" w:hAnsi="Verdana"/>
          <w:b w:val="0"/>
          <w:bCs w:val="0"/>
          <w:i w:val="0"/>
          <w:iCs w:val="0"/>
          <w:color w:val="auto"/>
          <w:sz w:val="22"/>
          <w:szCs w:val="22"/>
        </w:rPr>
        <w:t xml:space="preserve">Based on the sea cucumber regulations, there is a minimum length of 10 inches </w:t>
      </w:r>
      <w:r w:rsidR="008C1EB5" w:rsidRPr="00AB0EFA">
        <w:rPr>
          <w:rFonts w:ascii="Verdana" w:hAnsi="Verdana"/>
          <w:b w:val="0"/>
          <w:bCs w:val="0"/>
          <w:i w:val="0"/>
          <w:iCs w:val="0"/>
          <w:color w:val="auto"/>
          <w:sz w:val="22"/>
          <w:szCs w:val="22"/>
        </w:rPr>
        <w:t>(</w:t>
      </w:r>
      <w:r w:rsidRPr="00AB0EFA">
        <w:rPr>
          <w:rFonts w:ascii="Verdana" w:hAnsi="Verdana"/>
          <w:b w:val="0"/>
          <w:bCs w:val="0"/>
          <w:i w:val="0"/>
          <w:iCs w:val="0"/>
          <w:color w:val="auto"/>
          <w:sz w:val="22"/>
          <w:szCs w:val="22"/>
        </w:rPr>
        <w:t>25.4 cm</w:t>
      </w:r>
      <w:r w:rsidR="008C1EB5" w:rsidRPr="00AB0EFA">
        <w:rPr>
          <w:rFonts w:ascii="Verdana" w:hAnsi="Verdana"/>
          <w:b w:val="0"/>
          <w:bCs w:val="0"/>
          <w:i w:val="0"/>
          <w:iCs w:val="0"/>
          <w:color w:val="auto"/>
          <w:sz w:val="22"/>
          <w:szCs w:val="22"/>
        </w:rPr>
        <w:t>)</w:t>
      </w:r>
      <w:r w:rsidRPr="00AB0EFA">
        <w:rPr>
          <w:rFonts w:ascii="Verdana" w:hAnsi="Verdana"/>
          <w:b w:val="0"/>
          <w:bCs w:val="0"/>
          <w:i w:val="0"/>
          <w:iCs w:val="0"/>
          <w:color w:val="auto"/>
          <w:sz w:val="22"/>
          <w:szCs w:val="22"/>
        </w:rPr>
        <w:t xml:space="preserve"> </w:t>
      </w:r>
      <w:r w:rsidR="008C1EB5" w:rsidRPr="00AB0EFA">
        <w:rPr>
          <w:rFonts w:ascii="Verdana" w:hAnsi="Verdana"/>
          <w:b w:val="0"/>
          <w:bCs w:val="0"/>
          <w:i w:val="0"/>
          <w:iCs w:val="0"/>
          <w:color w:val="auto"/>
          <w:sz w:val="22"/>
          <w:szCs w:val="22"/>
        </w:rPr>
        <w:t>OR</w:t>
      </w:r>
      <w:r w:rsidRPr="00AB0EFA">
        <w:rPr>
          <w:rFonts w:ascii="Verdana" w:hAnsi="Verdana"/>
          <w:b w:val="0"/>
          <w:bCs w:val="0"/>
          <w:i w:val="0"/>
          <w:iCs w:val="0"/>
          <w:color w:val="auto"/>
          <w:sz w:val="22"/>
          <w:szCs w:val="22"/>
        </w:rPr>
        <w:t xml:space="preserve"> a minimum weight of 7 ounces </w:t>
      </w:r>
      <w:r w:rsidR="008C1EB5" w:rsidRPr="00AB0EFA">
        <w:rPr>
          <w:rFonts w:ascii="Verdana" w:hAnsi="Verdana"/>
          <w:b w:val="0"/>
          <w:bCs w:val="0"/>
          <w:i w:val="0"/>
          <w:iCs w:val="0"/>
          <w:color w:val="auto"/>
          <w:sz w:val="22"/>
          <w:szCs w:val="22"/>
        </w:rPr>
        <w:t>(</w:t>
      </w:r>
      <w:r w:rsidRPr="00AB0EFA">
        <w:rPr>
          <w:rFonts w:ascii="Verdana" w:hAnsi="Verdana"/>
          <w:b w:val="0"/>
          <w:bCs w:val="0"/>
          <w:i w:val="0"/>
          <w:iCs w:val="0"/>
          <w:color w:val="auto"/>
          <w:sz w:val="22"/>
          <w:szCs w:val="22"/>
        </w:rPr>
        <w:t>0.2 kg</w:t>
      </w:r>
      <w:r w:rsidR="008C1EB5" w:rsidRPr="00AB0EFA">
        <w:rPr>
          <w:rFonts w:ascii="Verdana" w:hAnsi="Verdana"/>
          <w:b w:val="0"/>
          <w:bCs w:val="0"/>
          <w:i w:val="0"/>
          <w:iCs w:val="0"/>
          <w:color w:val="auto"/>
          <w:sz w:val="22"/>
          <w:szCs w:val="22"/>
        </w:rPr>
        <w:t>)</w:t>
      </w:r>
      <w:r w:rsidRPr="00AB0EFA">
        <w:rPr>
          <w:rFonts w:ascii="Verdana" w:hAnsi="Verdana"/>
          <w:b w:val="0"/>
          <w:bCs w:val="0"/>
          <w:i w:val="0"/>
          <w:iCs w:val="0"/>
          <w:color w:val="auto"/>
          <w:sz w:val="22"/>
          <w:szCs w:val="22"/>
        </w:rPr>
        <w:t>, that donkey dung sea cucumber must reach in order to be harvested. None of the sites in 2020, had mean sea cucumber length of 25.4 cm</w:t>
      </w:r>
      <w:r w:rsidR="00AB0EFA">
        <w:rPr>
          <w:rFonts w:ascii="Verdana" w:hAnsi="Verdana"/>
          <w:b w:val="0"/>
          <w:bCs w:val="0"/>
          <w:i w:val="0"/>
          <w:iCs w:val="0"/>
          <w:color w:val="auto"/>
          <w:sz w:val="22"/>
          <w:szCs w:val="22"/>
        </w:rPr>
        <w:t>,</w:t>
      </w:r>
      <w:r w:rsidRPr="00AB0EFA">
        <w:rPr>
          <w:rFonts w:ascii="Verdana" w:hAnsi="Verdana"/>
          <w:b w:val="0"/>
          <w:bCs w:val="0"/>
          <w:i w:val="0"/>
          <w:iCs w:val="0"/>
          <w:color w:val="auto"/>
          <w:sz w:val="22"/>
          <w:szCs w:val="22"/>
        </w:rPr>
        <w:t xml:space="preserve"> and in 2021, only three sites did (Bank 1, East Snake Bank and Tarpon) (Figure 5).</w:t>
      </w:r>
      <w:r w:rsidR="00A75857" w:rsidRPr="00AB0EFA">
        <w:rPr>
          <w:rFonts w:ascii="Verdana" w:hAnsi="Verdana"/>
          <w:b w:val="0"/>
          <w:bCs w:val="0"/>
          <w:i w:val="0"/>
          <w:iCs w:val="0"/>
          <w:color w:val="auto"/>
          <w:sz w:val="22"/>
          <w:szCs w:val="22"/>
        </w:rPr>
        <w:t xml:space="preserve"> Whereas all sites had sea cucumbers with a mean </w:t>
      </w:r>
      <w:r w:rsidR="00A75857" w:rsidRPr="00622BE6">
        <w:rPr>
          <w:rFonts w:ascii="Verdana" w:hAnsi="Verdana"/>
          <w:b w:val="0"/>
          <w:bCs w:val="0"/>
          <w:i w:val="0"/>
          <w:iCs w:val="0"/>
          <w:color w:val="auto"/>
          <w:sz w:val="22"/>
          <w:szCs w:val="22"/>
        </w:rPr>
        <w:t>weight that met the legal weight limit of 0.2 kg (Figure 7)</w:t>
      </w:r>
      <w:r w:rsidR="007E338F" w:rsidRPr="00622BE6">
        <w:rPr>
          <w:rFonts w:ascii="Verdana" w:hAnsi="Verdana"/>
          <w:b w:val="0"/>
          <w:bCs w:val="0"/>
          <w:i w:val="0"/>
          <w:iCs w:val="0"/>
          <w:color w:val="auto"/>
          <w:sz w:val="22"/>
          <w:szCs w:val="22"/>
        </w:rPr>
        <w:t xml:space="preserve"> for both years</w:t>
      </w:r>
      <w:r w:rsidR="00A75857" w:rsidRPr="00622BE6">
        <w:rPr>
          <w:rFonts w:ascii="Verdana" w:hAnsi="Verdana"/>
          <w:b w:val="0"/>
          <w:bCs w:val="0"/>
          <w:i w:val="0"/>
          <w:iCs w:val="0"/>
          <w:color w:val="auto"/>
          <w:sz w:val="22"/>
          <w:szCs w:val="22"/>
        </w:rPr>
        <w:t>.</w:t>
      </w:r>
    </w:p>
    <w:p w14:paraId="4DC7819B" w14:textId="726D2C88" w:rsidR="001960C8" w:rsidRPr="00622BE6" w:rsidRDefault="001960C8" w:rsidP="00F05CFA">
      <w:pPr>
        <w:jc w:val="both"/>
        <w:rPr>
          <w:rFonts w:ascii="Verdana" w:hAnsi="Verdana"/>
          <w:i w:val="0"/>
          <w:iCs w:val="0"/>
          <w:sz w:val="22"/>
          <w:szCs w:val="22"/>
        </w:rPr>
      </w:pPr>
      <w:r w:rsidRPr="00622BE6">
        <w:rPr>
          <w:rFonts w:ascii="Verdana" w:hAnsi="Verdana"/>
          <w:i w:val="0"/>
          <w:iCs w:val="0"/>
          <w:sz w:val="22"/>
          <w:szCs w:val="22"/>
        </w:rPr>
        <w:t xml:space="preserve">The size frequency of donkey dung sea cucumbers was analyzed and frequency distribution graphs prepared. Using length (cm), the majority of sea cucumbers </w:t>
      </w:r>
      <w:r w:rsidR="00622BE6">
        <w:rPr>
          <w:rFonts w:ascii="Verdana" w:hAnsi="Verdana"/>
          <w:i w:val="0"/>
          <w:iCs w:val="0"/>
          <w:sz w:val="22"/>
          <w:szCs w:val="22"/>
        </w:rPr>
        <w:t xml:space="preserve">(64% in 2020 and 80% in 2021) </w:t>
      </w:r>
      <w:r w:rsidRPr="00622BE6">
        <w:rPr>
          <w:rFonts w:ascii="Verdana" w:hAnsi="Verdana"/>
          <w:i w:val="0"/>
          <w:iCs w:val="0"/>
          <w:sz w:val="22"/>
          <w:szCs w:val="22"/>
        </w:rPr>
        <w:t>were between 18 to 28 cm in length</w:t>
      </w:r>
      <w:r w:rsidR="00622BE6">
        <w:rPr>
          <w:rFonts w:ascii="Verdana" w:hAnsi="Verdana"/>
          <w:i w:val="0"/>
          <w:iCs w:val="0"/>
          <w:sz w:val="22"/>
          <w:szCs w:val="22"/>
        </w:rPr>
        <w:t xml:space="preserve"> (Figure 8a). In</w:t>
      </w:r>
      <w:r w:rsidRPr="00622BE6">
        <w:rPr>
          <w:rFonts w:ascii="Verdana" w:hAnsi="Verdana"/>
          <w:i w:val="0"/>
          <w:iCs w:val="0"/>
          <w:sz w:val="22"/>
          <w:szCs w:val="22"/>
        </w:rPr>
        <w:t xml:space="preserve"> </w:t>
      </w:r>
      <w:r w:rsidR="00622BE6">
        <w:rPr>
          <w:rFonts w:ascii="Verdana" w:hAnsi="Verdana"/>
          <w:i w:val="0"/>
          <w:iCs w:val="0"/>
          <w:sz w:val="22"/>
          <w:szCs w:val="22"/>
        </w:rPr>
        <w:t xml:space="preserve">terms of weight (kg), the majority of sea cucumbers (92% in 2020 and 95% in 2021) were between </w:t>
      </w:r>
      <w:r w:rsidRPr="00622BE6">
        <w:rPr>
          <w:rFonts w:ascii="Verdana" w:hAnsi="Verdana"/>
          <w:i w:val="0"/>
          <w:iCs w:val="0"/>
          <w:sz w:val="22"/>
          <w:szCs w:val="22"/>
        </w:rPr>
        <w:t xml:space="preserve">0.3 to </w:t>
      </w:r>
      <w:r w:rsidR="00622BE6">
        <w:rPr>
          <w:rFonts w:ascii="Verdana" w:hAnsi="Verdana"/>
          <w:i w:val="0"/>
          <w:iCs w:val="0"/>
          <w:sz w:val="22"/>
          <w:szCs w:val="22"/>
        </w:rPr>
        <w:t>0</w:t>
      </w:r>
      <w:r w:rsidRPr="00622BE6">
        <w:rPr>
          <w:rFonts w:ascii="Verdana" w:hAnsi="Verdana"/>
          <w:i w:val="0"/>
          <w:iCs w:val="0"/>
          <w:sz w:val="22"/>
          <w:szCs w:val="22"/>
        </w:rPr>
        <w:t>.</w:t>
      </w:r>
      <w:r w:rsidR="00622BE6">
        <w:rPr>
          <w:rFonts w:ascii="Verdana" w:hAnsi="Verdana"/>
          <w:i w:val="0"/>
          <w:iCs w:val="0"/>
          <w:sz w:val="22"/>
          <w:szCs w:val="22"/>
        </w:rPr>
        <w:t>9</w:t>
      </w:r>
      <w:r w:rsidRPr="00622BE6">
        <w:rPr>
          <w:rFonts w:ascii="Verdana" w:hAnsi="Verdana"/>
          <w:i w:val="0"/>
          <w:iCs w:val="0"/>
          <w:sz w:val="22"/>
          <w:szCs w:val="22"/>
        </w:rPr>
        <w:t xml:space="preserve"> kg in weight (Figure 8</w:t>
      </w:r>
      <w:r w:rsidR="00622BE6">
        <w:rPr>
          <w:rFonts w:ascii="Verdana" w:hAnsi="Verdana"/>
          <w:i w:val="0"/>
          <w:iCs w:val="0"/>
          <w:sz w:val="22"/>
          <w:szCs w:val="22"/>
        </w:rPr>
        <w:t>b</w:t>
      </w:r>
      <w:r w:rsidRPr="00622BE6">
        <w:rPr>
          <w:rFonts w:ascii="Verdana" w:hAnsi="Verdana"/>
          <w:i w:val="0"/>
          <w:iCs w:val="0"/>
          <w:sz w:val="22"/>
          <w:szCs w:val="22"/>
        </w:rPr>
        <w:t>).</w:t>
      </w:r>
    </w:p>
    <w:p w14:paraId="0BFBB955" w14:textId="0B3BB47E" w:rsidR="00A727A5" w:rsidRPr="00D0388B" w:rsidRDefault="009F1568" w:rsidP="00F05CFA">
      <w:pPr>
        <w:pStyle w:val="Caption"/>
        <w:jc w:val="both"/>
        <w:rPr>
          <w:rFonts w:ascii="Verdana" w:hAnsi="Verdana"/>
          <w:b w:val="0"/>
          <w:bCs w:val="0"/>
          <w:i w:val="0"/>
          <w:iCs w:val="0"/>
          <w:color w:val="auto"/>
          <w:sz w:val="22"/>
          <w:szCs w:val="22"/>
        </w:rPr>
      </w:pPr>
      <w:r w:rsidRPr="00622BE6">
        <w:rPr>
          <w:rFonts w:ascii="Verdana" w:hAnsi="Verdana"/>
          <w:b w:val="0"/>
          <w:bCs w:val="0"/>
          <w:i w:val="0"/>
          <w:iCs w:val="0"/>
          <w:color w:val="auto"/>
          <w:sz w:val="22"/>
          <w:szCs w:val="22"/>
        </w:rPr>
        <w:t xml:space="preserve">The mean density, length, width and weight were assessed for each management zone for 2020 and 2021. As </w:t>
      </w:r>
      <w:r w:rsidR="006D015F" w:rsidRPr="00622BE6">
        <w:rPr>
          <w:rFonts w:ascii="Verdana" w:hAnsi="Verdana"/>
          <w:b w:val="0"/>
          <w:bCs w:val="0"/>
          <w:i w:val="0"/>
          <w:iCs w:val="0"/>
          <w:color w:val="auto"/>
          <w:sz w:val="22"/>
          <w:szCs w:val="22"/>
        </w:rPr>
        <w:t>noted,</w:t>
      </w:r>
      <w:r w:rsidRPr="00622BE6">
        <w:rPr>
          <w:rFonts w:ascii="Verdana" w:hAnsi="Verdana"/>
          <w:b w:val="0"/>
          <w:bCs w:val="0"/>
          <w:i w:val="0"/>
          <w:iCs w:val="0"/>
          <w:color w:val="auto"/>
          <w:sz w:val="22"/>
          <w:szCs w:val="22"/>
        </w:rPr>
        <w:t xml:space="preserve"> prior, majority of the sea cucumbers were located within</w:t>
      </w:r>
      <w:r w:rsidRPr="00AB0EFA">
        <w:rPr>
          <w:rFonts w:ascii="Verdana" w:hAnsi="Verdana"/>
          <w:b w:val="0"/>
          <w:bCs w:val="0"/>
          <w:i w:val="0"/>
          <w:iCs w:val="0"/>
          <w:color w:val="auto"/>
          <w:sz w:val="22"/>
          <w:szCs w:val="22"/>
        </w:rPr>
        <w:t xml:space="preserve"> the general use zone of the marine reserve for both years (Figure </w:t>
      </w:r>
      <w:r w:rsidR="001960C8">
        <w:rPr>
          <w:rFonts w:ascii="Verdana" w:hAnsi="Verdana"/>
          <w:b w:val="0"/>
          <w:bCs w:val="0"/>
          <w:i w:val="0"/>
          <w:iCs w:val="0"/>
          <w:color w:val="auto"/>
          <w:sz w:val="22"/>
          <w:szCs w:val="22"/>
        </w:rPr>
        <w:t>9</w:t>
      </w:r>
      <w:r w:rsidRPr="00AB0EFA">
        <w:rPr>
          <w:rFonts w:ascii="Verdana" w:hAnsi="Verdana"/>
          <w:b w:val="0"/>
          <w:bCs w:val="0"/>
          <w:i w:val="0"/>
          <w:iCs w:val="0"/>
          <w:color w:val="auto"/>
          <w:sz w:val="22"/>
          <w:szCs w:val="22"/>
        </w:rPr>
        <w:t xml:space="preserve">a). There was only one site out of the five replenishment zone sites monitored, that had sea cucumbers for 2020. And no sites outside the marine reserve had any sea cucumbers. Density in 2021 was higher than density in 2020. Mean length was greater in the </w:t>
      </w:r>
      <w:r w:rsidRPr="00D0388B">
        <w:rPr>
          <w:rFonts w:ascii="Verdana" w:hAnsi="Verdana"/>
          <w:b w:val="0"/>
          <w:bCs w:val="0"/>
          <w:i w:val="0"/>
          <w:iCs w:val="0"/>
          <w:color w:val="auto"/>
          <w:sz w:val="22"/>
          <w:szCs w:val="22"/>
        </w:rPr>
        <w:t xml:space="preserve">general use zone than the replenishment zone (Figure </w:t>
      </w:r>
      <w:r w:rsidR="001960C8" w:rsidRPr="00D0388B">
        <w:rPr>
          <w:rFonts w:ascii="Verdana" w:hAnsi="Verdana"/>
          <w:b w:val="0"/>
          <w:bCs w:val="0"/>
          <w:i w:val="0"/>
          <w:iCs w:val="0"/>
          <w:color w:val="auto"/>
          <w:sz w:val="22"/>
          <w:szCs w:val="22"/>
        </w:rPr>
        <w:t>9</w:t>
      </w:r>
      <w:r w:rsidRPr="00D0388B">
        <w:rPr>
          <w:rFonts w:ascii="Verdana" w:hAnsi="Verdana"/>
          <w:b w:val="0"/>
          <w:bCs w:val="0"/>
          <w:i w:val="0"/>
          <w:iCs w:val="0"/>
          <w:color w:val="auto"/>
          <w:sz w:val="22"/>
          <w:szCs w:val="22"/>
        </w:rPr>
        <w:t>b)</w:t>
      </w:r>
      <w:r w:rsidR="00D658E0" w:rsidRPr="00D0388B">
        <w:rPr>
          <w:rFonts w:ascii="Verdana" w:hAnsi="Verdana"/>
          <w:b w:val="0"/>
          <w:bCs w:val="0"/>
          <w:i w:val="0"/>
          <w:iCs w:val="0"/>
          <w:color w:val="auto"/>
          <w:sz w:val="22"/>
          <w:szCs w:val="22"/>
        </w:rPr>
        <w:t xml:space="preserve"> and slightly higher in 2021 than in 2020</w:t>
      </w:r>
      <w:r w:rsidRPr="00D0388B">
        <w:rPr>
          <w:rFonts w:ascii="Verdana" w:hAnsi="Verdana"/>
          <w:b w:val="0"/>
          <w:bCs w:val="0"/>
          <w:i w:val="0"/>
          <w:iCs w:val="0"/>
          <w:color w:val="auto"/>
          <w:sz w:val="22"/>
          <w:szCs w:val="22"/>
        </w:rPr>
        <w:t xml:space="preserve">. Mean width was higher in 2020 than 2021 and higher in the replenishment zone than the general use zone (Figure </w:t>
      </w:r>
      <w:r w:rsidR="001960C8" w:rsidRPr="00D0388B">
        <w:rPr>
          <w:rFonts w:ascii="Verdana" w:hAnsi="Verdana"/>
          <w:b w:val="0"/>
          <w:bCs w:val="0"/>
          <w:i w:val="0"/>
          <w:iCs w:val="0"/>
          <w:color w:val="auto"/>
          <w:sz w:val="22"/>
          <w:szCs w:val="22"/>
        </w:rPr>
        <w:t>9</w:t>
      </w:r>
      <w:r w:rsidRPr="00D0388B">
        <w:rPr>
          <w:rFonts w:ascii="Verdana" w:hAnsi="Verdana"/>
          <w:b w:val="0"/>
          <w:bCs w:val="0"/>
          <w:i w:val="0"/>
          <w:iCs w:val="0"/>
          <w:color w:val="auto"/>
          <w:sz w:val="22"/>
          <w:szCs w:val="22"/>
        </w:rPr>
        <w:t xml:space="preserve">c). Mean weight </w:t>
      </w:r>
      <w:r w:rsidR="00D658E0" w:rsidRPr="00D0388B">
        <w:rPr>
          <w:rFonts w:ascii="Verdana" w:hAnsi="Verdana"/>
          <w:b w:val="0"/>
          <w:bCs w:val="0"/>
          <w:i w:val="0"/>
          <w:iCs w:val="0"/>
          <w:color w:val="auto"/>
          <w:sz w:val="22"/>
          <w:szCs w:val="22"/>
        </w:rPr>
        <w:t xml:space="preserve">was also higher in 2020 than in 2021 (Figure </w:t>
      </w:r>
      <w:r w:rsidR="001960C8" w:rsidRPr="00D0388B">
        <w:rPr>
          <w:rFonts w:ascii="Verdana" w:hAnsi="Verdana"/>
          <w:b w:val="0"/>
          <w:bCs w:val="0"/>
          <w:i w:val="0"/>
          <w:iCs w:val="0"/>
          <w:color w:val="auto"/>
          <w:sz w:val="22"/>
          <w:szCs w:val="22"/>
        </w:rPr>
        <w:t>9</w:t>
      </w:r>
      <w:r w:rsidR="00D658E0" w:rsidRPr="00D0388B">
        <w:rPr>
          <w:rFonts w:ascii="Verdana" w:hAnsi="Verdana"/>
          <w:b w:val="0"/>
          <w:bCs w:val="0"/>
          <w:i w:val="0"/>
          <w:iCs w:val="0"/>
          <w:color w:val="auto"/>
          <w:sz w:val="22"/>
          <w:szCs w:val="22"/>
        </w:rPr>
        <w:t>d).</w:t>
      </w:r>
    </w:p>
    <w:p w14:paraId="0C87EEEA" w14:textId="13ADBBD7" w:rsidR="00D451BD" w:rsidRPr="00D0388B" w:rsidRDefault="00D451BD" w:rsidP="00D0388B">
      <w:pPr>
        <w:jc w:val="both"/>
        <w:rPr>
          <w:rFonts w:ascii="Verdana" w:hAnsi="Verdana"/>
          <w:i w:val="0"/>
          <w:iCs w:val="0"/>
          <w:sz w:val="22"/>
          <w:szCs w:val="22"/>
        </w:rPr>
      </w:pPr>
      <w:r w:rsidRPr="00D0388B">
        <w:rPr>
          <w:rFonts w:ascii="Verdana" w:hAnsi="Verdana"/>
          <w:i w:val="0"/>
          <w:iCs w:val="0"/>
          <w:sz w:val="22"/>
          <w:szCs w:val="22"/>
        </w:rPr>
        <w:lastRenderedPageBreak/>
        <w:t>Mean density, length and weight of donkey dung sea cucumbers were compared for the zones of the PHMR from 2017 to 2021. Mean density in the general use zone has shown an increase over the years with the highest density encountered in 2021 of 42.0 per ha</w:t>
      </w:r>
      <w:r w:rsidR="00D0388B">
        <w:rPr>
          <w:rFonts w:ascii="Verdana" w:hAnsi="Verdana"/>
          <w:i w:val="0"/>
          <w:iCs w:val="0"/>
          <w:sz w:val="22"/>
          <w:szCs w:val="22"/>
        </w:rPr>
        <w:t xml:space="preserve"> </w:t>
      </w:r>
      <w:r w:rsidR="00D0388B" w:rsidRPr="00D0388B">
        <w:rPr>
          <w:rFonts w:ascii="Verdana" w:hAnsi="Verdana"/>
          <w:i w:val="0"/>
          <w:iCs w:val="0"/>
          <w:sz w:val="22"/>
          <w:szCs w:val="22"/>
        </w:rPr>
        <w:t>(±10.4 S.E.)</w:t>
      </w:r>
      <w:r w:rsidR="00D0388B">
        <w:rPr>
          <w:rFonts w:ascii="Verdana" w:hAnsi="Verdana"/>
          <w:i w:val="0"/>
          <w:iCs w:val="0"/>
          <w:sz w:val="22"/>
          <w:szCs w:val="22"/>
        </w:rPr>
        <w:t xml:space="preserve"> </w:t>
      </w:r>
      <w:r w:rsidRPr="00D0388B">
        <w:rPr>
          <w:rFonts w:ascii="Verdana" w:hAnsi="Verdana"/>
          <w:i w:val="0"/>
          <w:iCs w:val="0"/>
          <w:sz w:val="22"/>
          <w:szCs w:val="22"/>
        </w:rPr>
        <w:t xml:space="preserve">(Figure 10a). However, the trend is reversed for the replenishment zones, with a decrease </w:t>
      </w:r>
      <w:r w:rsidR="00D0388B">
        <w:rPr>
          <w:rFonts w:ascii="Verdana" w:hAnsi="Verdana"/>
          <w:i w:val="0"/>
          <w:iCs w:val="0"/>
          <w:sz w:val="22"/>
          <w:szCs w:val="22"/>
        </w:rPr>
        <w:t xml:space="preserve">in abundance </w:t>
      </w:r>
      <w:r w:rsidRPr="00D0388B">
        <w:rPr>
          <w:rFonts w:ascii="Verdana" w:hAnsi="Verdana"/>
          <w:i w:val="0"/>
          <w:iCs w:val="0"/>
          <w:sz w:val="22"/>
          <w:szCs w:val="22"/>
        </w:rPr>
        <w:t>over the years and the lowest density found in 2021</w:t>
      </w:r>
      <w:r w:rsidR="008E67A8" w:rsidRPr="00D0388B">
        <w:rPr>
          <w:rFonts w:ascii="Verdana" w:hAnsi="Verdana"/>
          <w:i w:val="0"/>
          <w:iCs w:val="0"/>
          <w:sz w:val="22"/>
          <w:szCs w:val="22"/>
        </w:rPr>
        <w:t>,</w:t>
      </w:r>
      <w:r w:rsidRPr="00D0388B">
        <w:rPr>
          <w:rFonts w:ascii="Verdana" w:hAnsi="Verdana"/>
          <w:i w:val="0"/>
          <w:iCs w:val="0"/>
          <w:sz w:val="22"/>
          <w:szCs w:val="22"/>
        </w:rPr>
        <w:t xml:space="preserve"> 2.5</w:t>
      </w:r>
      <w:r w:rsidR="00D0388B" w:rsidRPr="00D0388B">
        <w:rPr>
          <w:rFonts w:ascii="Verdana" w:hAnsi="Verdana"/>
          <w:i w:val="0"/>
          <w:iCs w:val="0"/>
          <w:sz w:val="22"/>
          <w:szCs w:val="22"/>
        </w:rPr>
        <w:t xml:space="preserve"> per ha</w:t>
      </w:r>
      <w:r w:rsidRPr="00D0388B">
        <w:rPr>
          <w:rFonts w:ascii="Verdana" w:hAnsi="Verdana"/>
          <w:i w:val="0"/>
          <w:iCs w:val="0"/>
          <w:sz w:val="22"/>
          <w:szCs w:val="22"/>
        </w:rPr>
        <w:t xml:space="preserve"> </w:t>
      </w:r>
      <w:r w:rsidR="008E67A8" w:rsidRPr="00D0388B">
        <w:rPr>
          <w:rFonts w:ascii="Verdana" w:hAnsi="Verdana"/>
          <w:i w:val="0"/>
          <w:iCs w:val="0"/>
          <w:sz w:val="22"/>
          <w:szCs w:val="22"/>
        </w:rPr>
        <w:t>(</w:t>
      </w:r>
      <w:r w:rsidRPr="00D0388B">
        <w:rPr>
          <w:rFonts w:ascii="Verdana" w:hAnsi="Verdana"/>
          <w:i w:val="0"/>
          <w:iCs w:val="0"/>
          <w:sz w:val="22"/>
          <w:szCs w:val="22"/>
        </w:rPr>
        <w:t xml:space="preserve">± </w:t>
      </w:r>
      <w:r w:rsidR="008E67A8" w:rsidRPr="00D0388B">
        <w:rPr>
          <w:rFonts w:ascii="Verdana" w:hAnsi="Verdana"/>
          <w:i w:val="0"/>
          <w:iCs w:val="0"/>
          <w:sz w:val="22"/>
          <w:szCs w:val="22"/>
        </w:rPr>
        <w:t>2.5 S.E.)</w:t>
      </w:r>
      <w:r w:rsidRPr="00D0388B">
        <w:rPr>
          <w:rFonts w:ascii="Verdana" w:hAnsi="Verdana"/>
          <w:i w:val="0"/>
          <w:iCs w:val="0"/>
          <w:sz w:val="22"/>
          <w:szCs w:val="22"/>
        </w:rPr>
        <w:t>.</w:t>
      </w:r>
      <w:r w:rsidR="0095151E">
        <w:rPr>
          <w:rFonts w:ascii="Verdana" w:hAnsi="Verdana"/>
          <w:i w:val="0"/>
          <w:iCs w:val="0"/>
          <w:sz w:val="22"/>
          <w:szCs w:val="22"/>
        </w:rPr>
        <w:t xml:space="preserve"> Generally, sea cucumbers were rarely found at sites outside the reserve </w:t>
      </w:r>
      <w:r w:rsidR="00465976">
        <w:rPr>
          <w:rFonts w:ascii="Verdana" w:hAnsi="Verdana"/>
          <w:i w:val="0"/>
          <w:iCs w:val="0"/>
          <w:sz w:val="22"/>
          <w:szCs w:val="22"/>
        </w:rPr>
        <w:t xml:space="preserve">and only in 2018 </w:t>
      </w:r>
      <w:r w:rsidR="0095151E">
        <w:rPr>
          <w:rFonts w:ascii="Verdana" w:hAnsi="Verdana"/>
          <w:i w:val="0"/>
          <w:iCs w:val="0"/>
          <w:sz w:val="22"/>
          <w:szCs w:val="22"/>
        </w:rPr>
        <w:t>(Figure 10a).</w:t>
      </w:r>
      <w:r w:rsidR="002F414F">
        <w:rPr>
          <w:rFonts w:ascii="Verdana" w:hAnsi="Verdana"/>
          <w:i w:val="0"/>
          <w:iCs w:val="0"/>
          <w:sz w:val="22"/>
          <w:szCs w:val="22"/>
        </w:rPr>
        <w:t xml:space="preserve"> Mean length was generally similar among the general use and replenishment zones over the years from 2017 to 2021</w:t>
      </w:r>
      <w:r w:rsidR="00836916">
        <w:rPr>
          <w:rFonts w:ascii="Verdana" w:hAnsi="Verdana"/>
          <w:i w:val="0"/>
          <w:iCs w:val="0"/>
          <w:sz w:val="22"/>
          <w:szCs w:val="22"/>
        </w:rPr>
        <w:t>, ranging between 21 to 25 cm with the exception of the year 2019, when mean length in the general use zone was 28 cm</w:t>
      </w:r>
      <w:r w:rsidR="002F414F">
        <w:rPr>
          <w:rFonts w:ascii="Verdana" w:hAnsi="Verdana"/>
          <w:i w:val="0"/>
          <w:iCs w:val="0"/>
          <w:sz w:val="22"/>
          <w:szCs w:val="22"/>
        </w:rPr>
        <w:t xml:space="preserve"> (Figure 10b</w:t>
      </w:r>
      <w:r w:rsidR="002F414F" w:rsidRPr="0077435F">
        <w:rPr>
          <w:rFonts w:ascii="Verdana" w:hAnsi="Verdana"/>
          <w:i w:val="0"/>
          <w:iCs w:val="0"/>
          <w:sz w:val="22"/>
          <w:szCs w:val="22"/>
        </w:rPr>
        <w:t xml:space="preserve">). </w:t>
      </w:r>
      <w:r w:rsidR="009260EB" w:rsidRPr="0077435F">
        <w:rPr>
          <w:rFonts w:ascii="Verdana" w:hAnsi="Verdana"/>
          <w:i w:val="0"/>
          <w:iCs w:val="0"/>
          <w:sz w:val="22"/>
          <w:szCs w:val="22"/>
        </w:rPr>
        <w:t>In 2018, t</w:t>
      </w:r>
      <w:r w:rsidR="00836916" w:rsidRPr="0077435F">
        <w:rPr>
          <w:rFonts w:ascii="Verdana" w:hAnsi="Verdana"/>
          <w:i w:val="0"/>
          <w:iCs w:val="0"/>
          <w:sz w:val="22"/>
          <w:szCs w:val="22"/>
        </w:rPr>
        <w:t xml:space="preserve">he </w:t>
      </w:r>
      <w:r w:rsidR="002F414F" w:rsidRPr="0077435F">
        <w:rPr>
          <w:rFonts w:ascii="Verdana" w:hAnsi="Verdana"/>
          <w:i w:val="0"/>
          <w:iCs w:val="0"/>
          <w:sz w:val="22"/>
          <w:szCs w:val="22"/>
        </w:rPr>
        <w:t xml:space="preserve">only year that had sea cucumbers outside the reserve, </w:t>
      </w:r>
      <w:r w:rsidR="0077435F" w:rsidRPr="0077435F">
        <w:rPr>
          <w:rFonts w:ascii="Verdana" w:hAnsi="Verdana"/>
          <w:i w:val="0"/>
          <w:iCs w:val="0"/>
          <w:sz w:val="22"/>
          <w:szCs w:val="22"/>
        </w:rPr>
        <w:t>had</w:t>
      </w:r>
      <w:r w:rsidR="009260EB" w:rsidRPr="0077435F">
        <w:rPr>
          <w:rFonts w:ascii="Verdana" w:hAnsi="Verdana"/>
          <w:i w:val="0"/>
          <w:iCs w:val="0"/>
          <w:sz w:val="22"/>
          <w:szCs w:val="22"/>
        </w:rPr>
        <w:t xml:space="preserve"> the</w:t>
      </w:r>
      <w:r w:rsidR="003265B6" w:rsidRPr="0077435F">
        <w:rPr>
          <w:rFonts w:ascii="Verdana" w:hAnsi="Verdana"/>
          <w:i w:val="0"/>
          <w:iCs w:val="0"/>
          <w:sz w:val="22"/>
          <w:szCs w:val="22"/>
        </w:rPr>
        <w:t xml:space="preserve"> largest</w:t>
      </w:r>
      <w:r w:rsidR="0077435F" w:rsidRPr="0077435F">
        <w:rPr>
          <w:rFonts w:ascii="Verdana" w:hAnsi="Verdana"/>
          <w:i w:val="0"/>
          <w:iCs w:val="0"/>
          <w:sz w:val="22"/>
          <w:szCs w:val="22"/>
        </w:rPr>
        <w:t xml:space="preserve"> </w:t>
      </w:r>
      <w:r w:rsidR="009260EB" w:rsidRPr="0077435F">
        <w:rPr>
          <w:rFonts w:ascii="Verdana" w:hAnsi="Verdana"/>
          <w:i w:val="0"/>
          <w:iCs w:val="0"/>
          <w:sz w:val="22"/>
          <w:szCs w:val="22"/>
        </w:rPr>
        <w:t>with</w:t>
      </w:r>
      <w:r w:rsidR="003265B6" w:rsidRPr="0077435F">
        <w:rPr>
          <w:rFonts w:ascii="Verdana" w:hAnsi="Verdana"/>
          <w:i w:val="0"/>
          <w:iCs w:val="0"/>
          <w:sz w:val="22"/>
          <w:szCs w:val="22"/>
        </w:rPr>
        <w:t xml:space="preserve"> a mean length of</w:t>
      </w:r>
      <w:r w:rsidR="002F414F" w:rsidRPr="0077435F">
        <w:rPr>
          <w:rFonts w:ascii="Verdana" w:hAnsi="Verdana"/>
          <w:i w:val="0"/>
          <w:iCs w:val="0"/>
          <w:sz w:val="22"/>
          <w:szCs w:val="22"/>
        </w:rPr>
        <w:t xml:space="preserve"> 33 cm (Figure 10b).</w:t>
      </w:r>
      <w:r w:rsidR="001131B1" w:rsidRPr="0077435F">
        <w:rPr>
          <w:rFonts w:ascii="Verdana" w:hAnsi="Verdana"/>
          <w:i w:val="0"/>
          <w:iCs w:val="0"/>
          <w:sz w:val="22"/>
          <w:szCs w:val="22"/>
        </w:rPr>
        <w:t xml:space="preserve"> </w:t>
      </w:r>
      <w:r w:rsidR="009260EB" w:rsidRPr="0077435F">
        <w:rPr>
          <w:rFonts w:ascii="Verdana" w:hAnsi="Verdana"/>
          <w:i w:val="0"/>
          <w:iCs w:val="0"/>
          <w:sz w:val="22"/>
          <w:szCs w:val="22"/>
        </w:rPr>
        <w:t>Mean weight over the period 2017 to 2021 showed a general declining trend, from 0.7 to 0.5 kg in the general use zone and 0.8 to 0.6 kg in the replenishment zone (Figure 10c). In 2018, outside the reserve, the mean weight was the highest observed during the five years, with a mean of 1.6 kg.</w:t>
      </w:r>
      <w:r w:rsidR="006B7DAC" w:rsidRPr="0077435F">
        <w:rPr>
          <w:rFonts w:ascii="Verdana" w:hAnsi="Verdana"/>
          <w:i w:val="0"/>
          <w:iCs w:val="0"/>
          <w:sz w:val="22"/>
          <w:szCs w:val="22"/>
        </w:rPr>
        <w:t xml:space="preserve"> </w:t>
      </w:r>
    </w:p>
    <w:p w14:paraId="311E67DA" w14:textId="01471128" w:rsidR="0020318F" w:rsidRPr="00B10404" w:rsidRDefault="0020318F" w:rsidP="006E5A8F">
      <w:pPr>
        <w:pStyle w:val="Caption"/>
        <w:rPr>
          <w:rFonts w:ascii="Verdana" w:hAnsi="Verdana"/>
          <w:sz w:val="16"/>
          <w:szCs w:val="16"/>
        </w:rPr>
      </w:pPr>
      <w:r w:rsidRPr="00B10404">
        <w:rPr>
          <w:rFonts w:ascii="Verdana" w:hAnsi="Verdana"/>
          <w:sz w:val="16"/>
          <w:szCs w:val="16"/>
        </w:rPr>
        <w:t xml:space="preserve">Table 1 </w:t>
      </w:r>
      <w:r w:rsidR="000C75D1" w:rsidRPr="00B10404">
        <w:rPr>
          <w:rFonts w:ascii="Verdana" w:hAnsi="Verdana"/>
          <w:sz w:val="16"/>
          <w:szCs w:val="16"/>
        </w:rPr>
        <w:t xml:space="preserve">Summary of </w:t>
      </w:r>
      <w:r w:rsidR="0092088F" w:rsidRPr="00B10404">
        <w:rPr>
          <w:rFonts w:ascii="Verdana" w:hAnsi="Verdana"/>
          <w:sz w:val="16"/>
          <w:szCs w:val="16"/>
        </w:rPr>
        <w:t>Mean</w:t>
      </w:r>
      <w:r w:rsidR="000C75D1" w:rsidRPr="00B10404">
        <w:rPr>
          <w:rFonts w:ascii="Verdana" w:hAnsi="Verdana"/>
          <w:sz w:val="16"/>
          <w:szCs w:val="16"/>
        </w:rPr>
        <w:t xml:space="preserve"> Length</w:t>
      </w:r>
      <w:r w:rsidR="00277A18" w:rsidRPr="00B10404">
        <w:rPr>
          <w:rFonts w:ascii="Verdana" w:hAnsi="Verdana"/>
          <w:sz w:val="16"/>
          <w:szCs w:val="16"/>
        </w:rPr>
        <w:t xml:space="preserve"> </w:t>
      </w:r>
      <w:r w:rsidR="0092088F" w:rsidRPr="00B10404">
        <w:rPr>
          <w:rFonts w:ascii="Verdana" w:hAnsi="Verdana"/>
          <w:sz w:val="16"/>
          <w:szCs w:val="16"/>
        </w:rPr>
        <w:t>(</w:t>
      </w:r>
      <w:r w:rsidR="00277A18" w:rsidRPr="00B10404">
        <w:rPr>
          <w:rFonts w:ascii="Verdana" w:hAnsi="Verdana"/>
          <w:sz w:val="16"/>
          <w:szCs w:val="16"/>
        </w:rPr>
        <w:t>cm</w:t>
      </w:r>
      <w:r w:rsidR="0092088F" w:rsidRPr="00B10404">
        <w:rPr>
          <w:rFonts w:ascii="Verdana" w:hAnsi="Verdana"/>
          <w:sz w:val="16"/>
          <w:szCs w:val="16"/>
        </w:rPr>
        <w:t>),</w:t>
      </w:r>
      <w:r w:rsidR="000C75D1" w:rsidRPr="00B10404">
        <w:rPr>
          <w:rFonts w:ascii="Verdana" w:hAnsi="Verdana"/>
          <w:sz w:val="16"/>
          <w:szCs w:val="16"/>
        </w:rPr>
        <w:t xml:space="preserve"> </w:t>
      </w:r>
      <w:r w:rsidR="0092088F" w:rsidRPr="00B10404">
        <w:rPr>
          <w:rFonts w:ascii="Verdana" w:hAnsi="Verdana"/>
          <w:sz w:val="16"/>
          <w:szCs w:val="16"/>
        </w:rPr>
        <w:t>Mean Width</w:t>
      </w:r>
      <w:r w:rsidR="00277A18" w:rsidRPr="00B10404">
        <w:rPr>
          <w:rFonts w:ascii="Verdana" w:hAnsi="Verdana"/>
          <w:sz w:val="16"/>
          <w:szCs w:val="16"/>
        </w:rPr>
        <w:t xml:space="preserve"> </w:t>
      </w:r>
      <w:r w:rsidR="0092088F" w:rsidRPr="00B10404">
        <w:rPr>
          <w:rFonts w:ascii="Verdana" w:hAnsi="Verdana"/>
          <w:sz w:val="16"/>
          <w:szCs w:val="16"/>
        </w:rPr>
        <w:t>(cm)</w:t>
      </w:r>
      <w:r w:rsidR="000C75D1" w:rsidRPr="00B10404">
        <w:rPr>
          <w:rFonts w:ascii="Verdana" w:hAnsi="Verdana"/>
          <w:sz w:val="16"/>
          <w:szCs w:val="16"/>
        </w:rPr>
        <w:t>,</w:t>
      </w:r>
      <w:r w:rsidR="0092088F" w:rsidRPr="00B10404">
        <w:rPr>
          <w:rFonts w:ascii="Verdana" w:hAnsi="Verdana"/>
          <w:sz w:val="16"/>
          <w:szCs w:val="16"/>
        </w:rPr>
        <w:t xml:space="preserve"> Mean weight (kg)</w:t>
      </w:r>
      <w:r w:rsidR="000C75D1" w:rsidRPr="00B10404">
        <w:rPr>
          <w:rFonts w:ascii="Verdana" w:hAnsi="Verdana"/>
          <w:sz w:val="16"/>
          <w:szCs w:val="16"/>
        </w:rPr>
        <w:t xml:space="preserve"> and </w:t>
      </w:r>
      <w:r w:rsidR="0092088F" w:rsidRPr="00B10404">
        <w:rPr>
          <w:rFonts w:ascii="Verdana" w:hAnsi="Verdana"/>
          <w:sz w:val="16"/>
          <w:szCs w:val="16"/>
        </w:rPr>
        <w:t>D</w:t>
      </w:r>
      <w:r w:rsidR="000C75D1" w:rsidRPr="00B10404">
        <w:rPr>
          <w:rFonts w:ascii="Verdana" w:hAnsi="Verdana"/>
          <w:sz w:val="16"/>
          <w:szCs w:val="16"/>
        </w:rPr>
        <w:t>ensity (ha</w:t>
      </w:r>
      <w:r w:rsidR="000C75D1" w:rsidRPr="00B10404">
        <w:rPr>
          <w:rFonts w:ascii="Verdana" w:hAnsi="Verdana"/>
          <w:sz w:val="16"/>
          <w:szCs w:val="16"/>
          <w:vertAlign w:val="superscript"/>
        </w:rPr>
        <w:t>-1</w:t>
      </w:r>
      <w:r w:rsidR="000C75D1" w:rsidRPr="00B10404">
        <w:rPr>
          <w:rFonts w:ascii="Verdana" w:hAnsi="Verdana"/>
          <w:sz w:val="16"/>
          <w:szCs w:val="16"/>
        </w:rPr>
        <w:t xml:space="preserve">) </w:t>
      </w:r>
      <w:r w:rsidR="005C3539" w:rsidRPr="00B10404">
        <w:rPr>
          <w:rFonts w:ascii="Verdana" w:hAnsi="Verdana"/>
          <w:sz w:val="16"/>
          <w:szCs w:val="16"/>
        </w:rPr>
        <w:t xml:space="preserve">of donkey dung sea cucumber </w:t>
      </w:r>
      <w:r w:rsidR="000C75D1" w:rsidRPr="00B10404">
        <w:rPr>
          <w:rFonts w:ascii="Verdana" w:hAnsi="Verdana"/>
          <w:sz w:val="16"/>
          <w:szCs w:val="16"/>
        </w:rPr>
        <w:t xml:space="preserve">from </w:t>
      </w:r>
      <w:r w:rsidR="00000A67" w:rsidRPr="00B10404">
        <w:rPr>
          <w:rFonts w:ascii="Verdana" w:hAnsi="Verdana"/>
          <w:sz w:val="16"/>
          <w:szCs w:val="16"/>
        </w:rPr>
        <w:t>twenty-four</w:t>
      </w:r>
      <w:r w:rsidR="000C75D1" w:rsidRPr="00B10404">
        <w:rPr>
          <w:rFonts w:ascii="Verdana" w:hAnsi="Verdana"/>
          <w:sz w:val="16"/>
          <w:szCs w:val="16"/>
        </w:rPr>
        <w:t xml:space="preserve"> long-term monitoring sites in the Port Honduras Marine Reserve.</w:t>
      </w:r>
    </w:p>
    <w:p w14:paraId="470AEED8" w14:textId="11AF9846" w:rsidR="00364E6E" w:rsidRPr="0031288E" w:rsidRDefault="007E43E2" w:rsidP="00364E6E">
      <w:pPr>
        <w:rPr>
          <w:rFonts w:ascii="Verdana" w:hAnsi="Verdana"/>
        </w:rPr>
      </w:pPr>
      <w:r w:rsidRPr="007E43E2">
        <w:rPr>
          <w:rFonts w:ascii="Verdana" w:hAnsi="Verdana"/>
          <w:noProof/>
        </w:rPr>
        <w:drawing>
          <wp:inline distT="0" distB="0" distL="0" distR="0" wp14:anchorId="18716E74" wp14:editId="719E8D8F">
            <wp:extent cx="5943600" cy="31730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73095"/>
                    </a:xfrm>
                    <a:prstGeom prst="rect">
                      <a:avLst/>
                    </a:prstGeom>
                  </pic:spPr>
                </pic:pic>
              </a:graphicData>
            </a:graphic>
          </wp:inline>
        </w:drawing>
      </w:r>
    </w:p>
    <w:p w14:paraId="2FA78A77" w14:textId="771A9A5C" w:rsidR="009D7AEE" w:rsidRDefault="009D7AEE" w:rsidP="00751FE6">
      <w:pPr>
        <w:spacing w:line="276" w:lineRule="auto"/>
        <w:jc w:val="both"/>
        <w:rPr>
          <w:rFonts w:ascii="Verdana" w:hAnsi="Verdana" w:cs="Bangla MN"/>
          <w:b/>
          <w:bCs/>
        </w:rPr>
      </w:pPr>
    </w:p>
    <w:p w14:paraId="52A0A7FE" w14:textId="754BE8A5" w:rsidR="00741E11" w:rsidRDefault="00EC647E" w:rsidP="00751FE6">
      <w:pPr>
        <w:spacing w:line="276" w:lineRule="auto"/>
        <w:jc w:val="both"/>
        <w:rPr>
          <w:rFonts w:ascii="Verdana" w:hAnsi="Verdana" w:cs="Bangla MN"/>
          <w:b/>
          <w:bCs/>
        </w:rPr>
      </w:pPr>
      <w:r>
        <w:rPr>
          <w:noProof/>
        </w:rPr>
        <w:lastRenderedPageBreak/>
        <w:drawing>
          <wp:inline distT="0" distB="0" distL="0" distR="0" wp14:anchorId="7C28FE52" wp14:editId="4A6B4027">
            <wp:extent cx="4312596" cy="3131700"/>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3054" cy="3146556"/>
                    </a:xfrm>
                    <a:prstGeom prst="rect">
                      <a:avLst/>
                    </a:prstGeom>
                  </pic:spPr>
                </pic:pic>
              </a:graphicData>
            </a:graphic>
          </wp:inline>
        </w:drawing>
      </w:r>
    </w:p>
    <w:p w14:paraId="1DC8E8A3" w14:textId="0F7E9E58" w:rsidR="00741E11" w:rsidRPr="001913D8" w:rsidRDefault="00741E11" w:rsidP="001913D8">
      <w:pPr>
        <w:pStyle w:val="Caption"/>
        <w:rPr>
          <w:rFonts w:ascii="Verdana" w:hAnsi="Verdana"/>
          <w:sz w:val="16"/>
          <w:szCs w:val="16"/>
        </w:rPr>
      </w:pPr>
      <w:r w:rsidRPr="00B10404">
        <w:rPr>
          <w:rFonts w:ascii="Verdana" w:hAnsi="Verdana"/>
          <w:sz w:val="16"/>
          <w:szCs w:val="16"/>
        </w:rPr>
        <w:t>Figure 3 Mean length (cm), mean width (cm) and mean weight (kg) of donkey dung sea cucumber from all sites within the PHMR for 2020 and 2021 (±Standard Error bars).</w:t>
      </w:r>
    </w:p>
    <w:p w14:paraId="7C052D51" w14:textId="445FF1F6" w:rsidR="009D7AEE" w:rsidRPr="0031288E" w:rsidRDefault="0087180C" w:rsidP="00751FE6">
      <w:pPr>
        <w:spacing w:line="276" w:lineRule="auto"/>
        <w:jc w:val="both"/>
        <w:rPr>
          <w:rFonts w:ascii="Verdana" w:hAnsi="Verdana" w:cs="Bangla MN"/>
          <w:b/>
          <w:bCs/>
        </w:rPr>
      </w:pPr>
      <w:r>
        <w:rPr>
          <w:noProof/>
        </w:rPr>
        <w:drawing>
          <wp:inline distT="0" distB="0" distL="0" distR="0" wp14:anchorId="2FD2330D" wp14:editId="596E638B">
            <wp:extent cx="4506216" cy="3272302"/>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2926" cy="3277175"/>
                    </a:xfrm>
                    <a:prstGeom prst="rect">
                      <a:avLst/>
                    </a:prstGeom>
                  </pic:spPr>
                </pic:pic>
              </a:graphicData>
            </a:graphic>
          </wp:inline>
        </w:drawing>
      </w:r>
    </w:p>
    <w:p w14:paraId="4706A7BE" w14:textId="716C3371" w:rsidR="006E5A8F" w:rsidRPr="00B10404" w:rsidRDefault="00630FCB" w:rsidP="0068399D">
      <w:pPr>
        <w:pStyle w:val="Caption"/>
        <w:tabs>
          <w:tab w:val="left" w:pos="360"/>
        </w:tabs>
        <w:rPr>
          <w:rFonts w:ascii="Verdana" w:hAnsi="Verdana"/>
          <w:sz w:val="16"/>
          <w:szCs w:val="16"/>
        </w:rPr>
      </w:pPr>
      <w:r w:rsidRPr="00B10404">
        <w:rPr>
          <w:rFonts w:ascii="Verdana" w:hAnsi="Verdana"/>
          <w:sz w:val="16"/>
          <w:szCs w:val="16"/>
        </w:rPr>
        <w:t xml:space="preserve">Figure </w:t>
      </w:r>
      <w:r w:rsidR="00741E11" w:rsidRPr="00B10404">
        <w:rPr>
          <w:rFonts w:ascii="Verdana" w:hAnsi="Verdana"/>
          <w:sz w:val="16"/>
          <w:szCs w:val="16"/>
        </w:rPr>
        <w:t>4</w:t>
      </w:r>
      <w:r w:rsidRPr="00B10404">
        <w:rPr>
          <w:rFonts w:ascii="Verdana" w:hAnsi="Verdana"/>
          <w:sz w:val="16"/>
          <w:szCs w:val="16"/>
        </w:rPr>
        <w:t xml:space="preserve"> </w:t>
      </w:r>
      <w:r w:rsidR="000C75D1" w:rsidRPr="00B10404">
        <w:rPr>
          <w:rFonts w:ascii="Verdana" w:hAnsi="Verdana"/>
          <w:sz w:val="16"/>
          <w:szCs w:val="16"/>
        </w:rPr>
        <w:t>Abundance of</w:t>
      </w:r>
      <w:r w:rsidR="002D0B84" w:rsidRPr="00B10404">
        <w:rPr>
          <w:rFonts w:ascii="Verdana" w:hAnsi="Verdana"/>
          <w:sz w:val="16"/>
          <w:szCs w:val="16"/>
        </w:rPr>
        <w:t xml:space="preserve"> donkey dung</w:t>
      </w:r>
      <w:r w:rsidR="000C75D1" w:rsidRPr="00B10404">
        <w:rPr>
          <w:rFonts w:ascii="Verdana" w:hAnsi="Verdana"/>
          <w:sz w:val="16"/>
          <w:szCs w:val="16"/>
        </w:rPr>
        <w:t xml:space="preserve"> </w:t>
      </w:r>
      <w:r w:rsidR="000638D6" w:rsidRPr="00B10404">
        <w:rPr>
          <w:rFonts w:ascii="Verdana" w:hAnsi="Verdana"/>
          <w:sz w:val="16"/>
          <w:szCs w:val="16"/>
        </w:rPr>
        <w:t>sea cucumber</w:t>
      </w:r>
      <w:r w:rsidR="000C75D1" w:rsidRPr="00B10404">
        <w:rPr>
          <w:rFonts w:ascii="Verdana" w:hAnsi="Verdana"/>
          <w:sz w:val="16"/>
          <w:szCs w:val="16"/>
        </w:rPr>
        <w:t xml:space="preserve"> ha</w:t>
      </w:r>
      <w:r w:rsidR="000C75D1" w:rsidRPr="00B10404">
        <w:rPr>
          <w:rFonts w:ascii="Verdana" w:hAnsi="Verdana"/>
          <w:sz w:val="16"/>
          <w:szCs w:val="16"/>
          <w:vertAlign w:val="superscript"/>
        </w:rPr>
        <w:t>-1</w:t>
      </w:r>
      <w:r w:rsidR="000C75D1" w:rsidRPr="00B10404">
        <w:rPr>
          <w:rFonts w:ascii="Verdana" w:hAnsi="Verdana"/>
          <w:sz w:val="16"/>
          <w:szCs w:val="16"/>
        </w:rPr>
        <w:t xml:space="preserve"> at the </w:t>
      </w:r>
      <w:r w:rsidR="00BC2F83" w:rsidRPr="00B10404">
        <w:rPr>
          <w:rFonts w:ascii="Verdana" w:hAnsi="Verdana"/>
          <w:sz w:val="16"/>
          <w:szCs w:val="16"/>
        </w:rPr>
        <w:t>twenty-four</w:t>
      </w:r>
      <w:r w:rsidR="000C75D1" w:rsidRPr="00B10404">
        <w:rPr>
          <w:rFonts w:ascii="Verdana" w:hAnsi="Verdana"/>
          <w:sz w:val="16"/>
          <w:szCs w:val="16"/>
        </w:rPr>
        <w:t xml:space="preserve"> sites surveyed within the PHMR in 202</w:t>
      </w:r>
      <w:r w:rsidR="000638D6" w:rsidRPr="00B10404">
        <w:rPr>
          <w:rFonts w:ascii="Verdana" w:hAnsi="Verdana"/>
          <w:sz w:val="16"/>
          <w:szCs w:val="16"/>
        </w:rPr>
        <w:t>0 and 2021</w:t>
      </w:r>
      <w:r w:rsidR="000C75D1" w:rsidRPr="00B10404">
        <w:rPr>
          <w:rFonts w:ascii="Verdana" w:hAnsi="Verdana"/>
          <w:sz w:val="16"/>
          <w:szCs w:val="16"/>
        </w:rPr>
        <w:t xml:space="preserve"> (GUZ-General Use Zone, RZ-Replenishment Zone, OUT-Outside Reserve)</w:t>
      </w:r>
      <w:r w:rsidR="003454DE" w:rsidRPr="00B10404">
        <w:rPr>
          <w:rFonts w:ascii="Verdana" w:hAnsi="Verdana"/>
          <w:sz w:val="16"/>
          <w:szCs w:val="16"/>
        </w:rPr>
        <w:t>.</w:t>
      </w:r>
    </w:p>
    <w:p w14:paraId="2FF8AB27" w14:textId="4E633C4E" w:rsidR="00AC6B16" w:rsidRDefault="00B10404" w:rsidP="00E90274">
      <w:pPr>
        <w:pStyle w:val="Caption"/>
        <w:rPr>
          <w:rFonts w:ascii="Verdana" w:hAnsi="Verdana"/>
        </w:rPr>
      </w:pPr>
      <w:r>
        <w:rPr>
          <w:noProof/>
        </w:rPr>
        <w:lastRenderedPageBreak/>
        <mc:AlternateContent>
          <mc:Choice Requires="wps">
            <w:drawing>
              <wp:anchor distT="0" distB="0" distL="114300" distR="114300" simplePos="0" relativeHeight="251683840" behindDoc="0" locked="0" layoutInCell="1" allowOverlap="1" wp14:anchorId="500D58CC" wp14:editId="15423E33">
                <wp:simplePos x="0" y="0"/>
                <wp:positionH relativeFrom="column">
                  <wp:posOffset>440690</wp:posOffset>
                </wp:positionH>
                <wp:positionV relativeFrom="paragraph">
                  <wp:posOffset>479560</wp:posOffset>
                </wp:positionV>
                <wp:extent cx="3748392" cy="0"/>
                <wp:effectExtent l="0" t="0" r="11430" b="12700"/>
                <wp:wrapNone/>
                <wp:docPr id="33" name="Straight Connector 33"/>
                <wp:cNvGraphicFramePr/>
                <a:graphic xmlns:a="http://schemas.openxmlformats.org/drawingml/2006/main">
                  <a:graphicData uri="http://schemas.microsoft.com/office/word/2010/wordprocessingShape">
                    <wps:wsp>
                      <wps:cNvCnPr/>
                      <wps:spPr>
                        <a:xfrm>
                          <a:off x="0" y="0"/>
                          <a:ext cx="374839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F32FD" id="Straight Connector 3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4.7pt,37.75pt" to="329.85pt,3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" strokecolor="red" strokeweight=".5pt"/>
            </w:pict>
          </mc:Fallback>
        </mc:AlternateContent>
      </w:r>
      <w:r w:rsidR="00AC6B16">
        <w:rPr>
          <w:noProof/>
        </w:rPr>
        <w:drawing>
          <wp:inline distT="0" distB="0" distL="0" distR="0" wp14:anchorId="61ADB8BA" wp14:editId="0FCA543C">
            <wp:extent cx="4289898" cy="311521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6245" cy="3127088"/>
                    </a:xfrm>
                    <a:prstGeom prst="rect">
                      <a:avLst/>
                    </a:prstGeom>
                  </pic:spPr>
                </pic:pic>
              </a:graphicData>
            </a:graphic>
          </wp:inline>
        </w:drawing>
      </w:r>
      <w:r w:rsidR="00AC6B16" w:rsidRPr="0031288E">
        <w:rPr>
          <w:rFonts w:ascii="Verdana" w:hAnsi="Verdana"/>
        </w:rPr>
        <w:t xml:space="preserve"> </w:t>
      </w:r>
    </w:p>
    <w:p w14:paraId="5E3C6DE1" w14:textId="5DDBD01E" w:rsidR="00FB5BD5" w:rsidRPr="00B10404" w:rsidRDefault="005960C7" w:rsidP="00E90274">
      <w:pPr>
        <w:pStyle w:val="Caption"/>
        <w:rPr>
          <w:rFonts w:ascii="Verdana" w:hAnsi="Verdana"/>
          <w:sz w:val="16"/>
          <w:szCs w:val="16"/>
        </w:rPr>
      </w:pPr>
      <w:r w:rsidRPr="00B10404">
        <w:rPr>
          <w:rFonts w:ascii="Verdana" w:hAnsi="Verdana"/>
          <w:sz w:val="16"/>
          <w:szCs w:val="16"/>
        </w:rPr>
        <w:t xml:space="preserve">Figure </w:t>
      </w:r>
      <w:r w:rsidR="00741E11" w:rsidRPr="00B10404">
        <w:rPr>
          <w:rFonts w:ascii="Verdana" w:hAnsi="Verdana"/>
          <w:sz w:val="16"/>
          <w:szCs w:val="16"/>
        </w:rPr>
        <w:t>5</w:t>
      </w:r>
      <w:r w:rsidRPr="00B10404">
        <w:rPr>
          <w:rFonts w:ascii="Verdana" w:hAnsi="Verdana"/>
          <w:sz w:val="16"/>
          <w:szCs w:val="16"/>
        </w:rPr>
        <w:t xml:space="preserve"> </w:t>
      </w:r>
      <w:r w:rsidR="000C75D1" w:rsidRPr="00B10404">
        <w:rPr>
          <w:rFonts w:ascii="Verdana" w:hAnsi="Verdana"/>
          <w:sz w:val="16"/>
          <w:szCs w:val="16"/>
        </w:rPr>
        <w:t xml:space="preserve">Mean </w:t>
      </w:r>
      <w:r w:rsidR="00AC6B16" w:rsidRPr="00B10404">
        <w:rPr>
          <w:rFonts w:ascii="Verdana" w:hAnsi="Verdana"/>
          <w:sz w:val="16"/>
          <w:szCs w:val="16"/>
        </w:rPr>
        <w:t>length (</w:t>
      </w:r>
      <w:r w:rsidR="003454DE" w:rsidRPr="00B10404">
        <w:rPr>
          <w:rFonts w:ascii="Verdana" w:hAnsi="Verdana"/>
          <w:sz w:val="16"/>
          <w:szCs w:val="16"/>
        </w:rPr>
        <w:t>c</w:t>
      </w:r>
      <w:r w:rsidR="000C75D1" w:rsidRPr="00B10404">
        <w:rPr>
          <w:rFonts w:ascii="Verdana" w:hAnsi="Verdana"/>
          <w:sz w:val="16"/>
          <w:szCs w:val="16"/>
        </w:rPr>
        <w:t>m</w:t>
      </w:r>
      <w:r w:rsidR="00AC6B16" w:rsidRPr="00B10404">
        <w:rPr>
          <w:rFonts w:ascii="Verdana" w:hAnsi="Verdana"/>
          <w:sz w:val="16"/>
          <w:szCs w:val="16"/>
        </w:rPr>
        <w:t>)</w:t>
      </w:r>
      <w:r w:rsidR="000C75D1" w:rsidRPr="00B10404">
        <w:rPr>
          <w:rFonts w:ascii="Verdana" w:hAnsi="Verdana"/>
          <w:sz w:val="16"/>
          <w:szCs w:val="16"/>
        </w:rPr>
        <w:t xml:space="preserve"> of </w:t>
      </w:r>
      <w:r w:rsidR="002D0B84" w:rsidRPr="00B10404">
        <w:rPr>
          <w:rFonts w:ascii="Verdana" w:hAnsi="Verdana"/>
          <w:sz w:val="16"/>
          <w:szCs w:val="16"/>
        </w:rPr>
        <w:t xml:space="preserve">donkey dung </w:t>
      </w:r>
      <w:r w:rsidR="00AC6B16" w:rsidRPr="00B10404">
        <w:rPr>
          <w:rFonts w:ascii="Verdana" w:hAnsi="Verdana"/>
          <w:sz w:val="16"/>
          <w:szCs w:val="16"/>
        </w:rPr>
        <w:t>sea cucumber</w:t>
      </w:r>
      <w:r w:rsidR="000C75D1" w:rsidRPr="00B10404">
        <w:rPr>
          <w:rFonts w:ascii="Verdana" w:hAnsi="Verdana"/>
          <w:sz w:val="16"/>
          <w:szCs w:val="16"/>
        </w:rPr>
        <w:t xml:space="preserve"> surveyed at sites within the PHMR (GUZ-General Use Zone, RZ-Replenishment Zone, OUT-Outside Reserve) </w:t>
      </w:r>
      <w:r w:rsidR="000F0B45" w:rsidRPr="00B10404">
        <w:rPr>
          <w:rFonts w:ascii="Verdana" w:hAnsi="Verdana"/>
          <w:sz w:val="16"/>
          <w:szCs w:val="16"/>
        </w:rPr>
        <w:t>(</w:t>
      </w:r>
      <w:r w:rsidR="00D50655" w:rsidRPr="00B10404">
        <w:rPr>
          <w:rFonts w:ascii="Verdana" w:hAnsi="Verdana"/>
          <w:sz w:val="16"/>
          <w:szCs w:val="16"/>
        </w:rPr>
        <w:t>±</w:t>
      </w:r>
      <w:r w:rsidR="000F0B45" w:rsidRPr="00B10404">
        <w:rPr>
          <w:rFonts w:ascii="Verdana" w:hAnsi="Verdana"/>
          <w:sz w:val="16"/>
          <w:szCs w:val="16"/>
        </w:rPr>
        <w:t>Standard Error bars)</w:t>
      </w:r>
      <w:r w:rsidR="00AC6B16" w:rsidRPr="00B10404">
        <w:rPr>
          <w:rFonts w:ascii="Verdana" w:hAnsi="Verdana"/>
          <w:sz w:val="16"/>
          <w:szCs w:val="16"/>
        </w:rPr>
        <w:t xml:space="preserve"> in 2020 and 202</w:t>
      </w:r>
      <w:r w:rsidR="00B10404" w:rsidRPr="00B10404">
        <w:rPr>
          <w:rFonts w:ascii="Verdana" w:hAnsi="Verdana"/>
          <w:sz w:val="16"/>
          <w:szCs w:val="16"/>
        </w:rPr>
        <w:t>; red line indicates the minimum size limit of 25.4 cm for</w:t>
      </w:r>
      <w:r w:rsidR="00B10404">
        <w:rPr>
          <w:rFonts w:ascii="Verdana" w:hAnsi="Verdana"/>
          <w:sz w:val="16"/>
          <w:szCs w:val="16"/>
        </w:rPr>
        <w:t xml:space="preserve"> </w:t>
      </w:r>
      <w:r w:rsidR="00B10404" w:rsidRPr="00B10404">
        <w:rPr>
          <w:rFonts w:ascii="Verdana" w:hAnsi="Verdana"/>
          <w:sz w:val="16"/>
          <w:szCs w:val="16"/>
        </w:rPr>
        <w:t>legal harvesting</w:t>
      </w:r>
      <w:r w:rsidR="00AC6B16" w:rsidRPr="00B10404">
        <w:rPr>
          <w:rFonts w:ascii="Verdana" w:hAnsi="Verdana"/>
          <w:sz w:val="16"/>
          <w:szCs w:val="16"/>
        </w:rPr>
        <w:t>.</w:t>
      </w:r>
    </w:p>
    <w:p w14:paraId="7F6F8CB6" w14:textId="77777777" w:rsidR="00364E6E" w:rsidRPr="0031288E" w:rsidRDefault="00364E6E" w:rsidP="000F0B45">
      <w:pPr>
        <w:pStyle w:val="Caption"/>
        <w:rPr>
          <w:rFonts w:ascii="Verdana" w:hAnsi="Verdana"/>
        </w:rPr>
      </w:pPr>
    </w:p>
    <w:p w14:paraId="2DD705F6" w14:textId="6C84FA70" w:rsidR="003454DE" w:rsidRPr="0031288E" w:rsidRDefault="00EC647E" w:rsidP="00751FE6">
      <w:pPr>
        <w:pStyle w:val="Caption"/>
        <w:rPr>
          <w:rFonts w:ascii="Verdana" w:hAnsi="Verdana"/>
        </w:rPr>
      </w:pPr>
      <w:r>
        <w:rPr>
          <w:noProof/>
        </w:rPr>
        <w:drawing>
          <wp:inline distT="0" distB="0" distL="0" distR="0" wp14:anchorId="44889D4A" wp14:editId="26E7EDA8">
            <wp:extent cx="4438458" cy="322309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1864" cy="3247357"/>
                    </a:xfrm>
                    <a:prstGeom prst="rect">
                      <a:avLst/>
                    </a:prstGeom>
                  </pic:spPr>
                </pic:pic>
              </a:graphicData>
            </a:graphic>
          </wp:inline>
        </w:drawing>
      </w:r>
    </w:p>
    <w:p w14:paraId="07E8DDD7" w14:textId="126B73E9" w:rsidR="00AB0EFA" w:rsidRPr="001913D8" w:rsidRDefault="00B14404" w:rsidP="001913D8">
      <w:pPr>
        <w:pStyle w:val="Caption"/>
        <w:rPr>
          <w:rFonts w:ascii="Verdana" w:hAnsi="Verdana"/>
          <w:sz w:val="16"/>
          <w:szCs w:val="16"/>
        </w:rPr>
      </w:pPr>
      <w:r w:rsidRPr="00B873DE">
        <w:rPr>
          <w:rFonts w:ascii="Verdana" w:hAnsi="Verdana"/>
          <w:sz w:val="16"/>
          <w:szCs w:val="16"/>
        </w:rPr>
        <w:t xml:space="preserve">Figure </w:t>
      </w:r>
      <w:r w:rsidR="00741E11" w:rsidRPr="00B873DE">
        <w:rPr>
          <w:rFonts w:ascii="Verdana" w:hAnsi="Verdana"/>
          <w:sz w:val="16"/>
          <w:szCs w:val="16"/>
        </w:rPr>
        <w:t>6</w:t>
      </w:r>
      <w:r w:rsidRPr="00B873DE">
        <w:rPr>
          <w:rFonts w:ascii="Verdana" w:hAnsi="Verdana"/>
          <w:sz w:val="16"/>
          <w:szCs w:val="16"/>
        </w:rPr>
        <w:t xml:space="preserve"> </w:t>
      </w:r>
      <w:r w:rsidR="000C75D1" w:rsidRPr="00B873DE">
        <w:rPr>
          <w:rFonts w:ascii="Verdana" w:hAnsi="Verdana"/>
          <w:sz w:val="16"/>
          <w:szCs w:val="16"/>
        </w:rPr>
        <w:t xml:space="preserve">Mean </w:t>
      </w:r>
      <w:r w:rsidR="00002C58" w:rsidRPr="00B873DE">
        <w:rPr>
          <w:rFonts w:ascii="Verdana" w:hAnsi="Verdana"/>
          <w:sz w:val="16"/>
          <w:szCs w:val="16"/>
        </w:rPr>
        <w:t>width (cm)</w:t>
      </w:r>
      <w:r w:rsidR="000C75D1" w:rsidRPr="00B873DE">
        <w:rPr>
          <w:rFonts w:ascii="Verdana" w:hAnsi="Verdana"/>
          <w:sz w:val="16"/>
          <w:szCs w:val="16"/>
        </w:rPr>
        <w:t xml:space="preserve"> of </w:t>
      </w:r>
      <w:r w:rsidR="002D0B84" w:rsidRPr="00B873DE">
        <w:rPr>
          <w:rFonts w:ascii="Verdana" w:hAnsi="Verdana"/>
          <w:sz w:val="16"/>
          <w:szCs w:val="16"/>
        </w:rPr>
        <w:t xml:space="preserve">donkey dung </w:t>
      </w:r>
      <w:r w:rsidR="00002C58" w:rsidRPr="00B873DE">
        <w:rPr>
          <w:rFonts w:ascii="Verdana" w:hAnsi="Verdana"/>
          <w:sz w:val="16"/>
          <w:szCs w:val="16"/>
        </w:rPr>
        <w:t>sea cucumber</w:t>
      </w:r>
      <w:r w:rsidR="000C75D1" w:rsidRPr="00B873DE">
        <w:rPr>
          <w:rFonts w:ascii="Verdana" w:hAnsi="Verdana"/>
          <w:sz w:val="16"/>
          <w:szCs w:val="16"/>
        </w:rPr>
        <w:t xml:space="preserve"> surveyed within the PHMR (GUZ-General Use Zone, RZ-Replenishment Zone, OUT-Outside Reserve) </w:t>
      </w:r>
      <w:r w:rsidR="00D50655" w:rsidRPr="00B873DE">
        <w:rPr>
          <w:rFonts w:ascii="Verdana" w:hAnsi="Verdana"/>
          <w:sz w:val="16"/>
          <w:szCs w:val="16"/>
        </w:rPr>
        <w:t>(±Standard Error Bars)</w:t>
      </w:r>
      <w:r w:rsidR="00002C58" w:rsidRPr="00B873DE">
        <w:rPr>
          <w:rFonts w:ascii="Verdana" w:hAnsi="Verdana"/>
          <w:sz w:val="16"/>
          <w:szCs w:val="16"/>
        </w:rPr>
        <w:t xml:space="preserve"> in 2020 and 2021</w:t>
      </w:r>
      <w:r w:rsidR="003454DE" w:rsidRPr="00B873DE">
        <w:rPr>
          <w:rFonts w:ascii="Verdana" w:hAnsi="Verdana"/>
          <w:sz w:val="16"/>
          <w:szCs w:val="16"/>
        </w:rPr>
        <w:t>.</w:t>
      </w:r>
      <w:r w:rsidR="00C9200E" w:rsidRPr="00B873DE">
        <w:rPr>
          <w:rFonts w:ascii="Verdana" w:hAnsi="Verdana"/>
          <w:noProof/>
          <w:sz w:val="16"/>
          <w:szCs w:val="16"/>
        </w:rPr>
        <w:t xml:space="preserve"> </w:t>
      </w:r>
    </w:p>
    <w:p w14:paraId="72BDAFE9" w14:textId="7C4B4295" w:rsidR="001913D8" w:rsidRDefault="00B873DE" w:rsidP="00E64A97">
      <w:pPr>
        <w:pStyle w:val="Caption"/>
        <w:rPr>
          <w:rFonts w:ascii="Verdana" w:hAnsi="Verdana"/>
        </w:rPr>
      </w:pPr>
      <w:r>
        <w:rPr>
          <w:noProof/>
        </w:rPr>
        <w:lastRenderedPageBreak/>
        <mc:AlternateContent>
          <mc:Choice Requires="wps">
            <w:drawing>
              <wp:anchor distT="0" distB="0" distL="114300" distR="114300" simplePos="0" relativeHeight="251684864" behindDoc="0" locked="0" layoutInCell="1" allowOverlap="1" wp14:anchorId="3087BAC4" wp14:editId="29835B51">
                <wp:simplePos x="0" y="0"/>
                <wp:positionH relativeFrom="column">
                  <wp:posOffset>473413</wp:posOffset>
                </wp:positionH>
                <wp:positionV relativeFrom="paragraph">
                  <wp:posOffset>2053995</wp:posOffset>
                </wp:positionV>
                <wp:extent cx="3813242" cy="0"/>
                <wp:effectExtent l="0" t="0" r="9525" b="12700"/>
                <wp:wrapNone/>
                <wp:docPr id="34" name="Straight Connector 34"/>
                <wp:cNvGraphicFramePr/>
                <a:graphic xmlns:a="http://schemas.openxmlformats.org/drawingml/2006/main">
                  <a:graphicData uri="http://schemas.microsoft.com/office/word/2010/wordprocessingShape">
                    <wps:wsp>
                      <wps:cNvCnPr/>
                      <wps:spPr>
                        <a:xfrm>
                          <a:off x="0" y="0"/>
                          <a:ext cx="381324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58DC4" id="Straight Connector 3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7.3pt,161.75pt" to="337.55pt,1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" strokecolor="red" strokeweight=".5pt"/>
            </w:pict>
          </mc:Fallback>
        </mc:AlternateContent>
      </w:r>
      <w:r w:rsidR="00002C58">
        <w:rPr>
          <w:noProof/>
        </w:rPr>
        <w:drawing>
          <wp:anchor distT="0" distB="0" distL="114300" distR="114300" simplePos="0" relativeHeight="251647999" behindDoc="0" locked="0" layoutInCell="1" allowOverlap="1" wp14:anchorId="2DA8F871" wp14:editId="52B96D7D">
            <wp:simplePos x="0" y="0"/>
            <wp:positionH relativeFrom="column">
              <wp:posOffset>0</wp:posOffset>
            </wp:positionH>
            <wp:positionV relativeFrom="paragraph">
              <wp:posOffset>635</wp:posOffset>
            </wp:positionV>
            <wp:extent cx="4357370" cy="31642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57370" cy="3164205"/>
                    </a:xfrm>
                    <a:prstGeom prst="rect">
                      <a:avLst/>
                    </a:prstGeom>
                  </pic:spPr>
                </pic:pic>
              </a:graphicData>
            </a:graphic>
            <wp14:sizeRelH relativeFrom="page">
              <wp14:pctWidth>0</wp14:pctWidth>
            </wp14:sizeRelH>
            <wp14:sizeRelV relativeFrom="page">
              <wp14:pctHeight>0</wp14:pctHeight>
            </wp14:sizeRelV>
          </wp:anchor>
        </w:drawing>
      </w:r>
    </w:p>
    <w:p w14:paraId="4E0C3379" w14:textId="77777777" w:rsidR="001913D8" w:rsidRPr="001913D8" w:rsidRDefault="001913D8" w:rsidP="001913D8"/>
    <w:p w14:paraId="56835B5C" w14:textId="77777777" w:rsidR="001913D8" w:rsidRDefault="001913D8" w:rsidP="00E64A97">
      <w:pPr>
        <w:pStyle w:val="Caption"/>
        <w:rPr>
          <w:rFonts w:ascii="Verdana" w:hAnsi="Verdana"/>
          <w:sz w:val="16"/>
          <w:szCs w:val="16"/>
        </w:rPr>
      </w:pPr>
    </w:p>
    <w:p w14:paraId="35C8B4AF" w14:textId="77777777" w:rsidR="001913D8" w:rsidRDefault="001913D8" w:rsidP="00E64A97">
      <w:pPr>
        <w:pStyle w:val="Caption"/>
        <w:rPr>
          <w:rFonts w:ascii="Verdana" w:hAnsi="Verdana"/>
          <w:sz w:val="16"/>
          <w:szCs w:val="16"/>
        </w:rPr>
      </w:pPr>
    </w:p>
    <w:p w14:paraId="76440A14" w14:textId="77777777" w:rsidR="001913D8" w:rsidRDefault="001913D8" w:rsidP="00E64A97">
      <w:pPr>
        <w:pStyle w:val="Caption"/>
        <w:rPr>
          <w:rFonts w:ascii="Verdana" w:hAnsi="Verdana"/>
          <w:sz w:val="16"/>
          <w:szCs w:val="16"/>
        </w:rPr>
      </w:pPr>
    </w:p>
    <w:p w14:paraId="58C4F64F" w14:textId="77777777" w:rsidR="001913D8" w:rsidRDefault="001913D8" w:rsidP="00E64A97">
      <w:pPr>
        <w:pStyle w:val="Caption"/>
        <w:rPr>
          <w:rFonts w:ascii="Verdana" w:hAnsi="Verdana"/>
          <w:sz w:val="16"/>
          <w:szCs w:val="16"/>
        </w:rPr>
      </w:pPr>
    </w:p>
    <w:p w14:paraId="477907E5" w14:textId="77777777" w:rsidR="001913D8" w:rsidRDefault="001913D8" w:rsidP="00E64A97">
      <w:pPr>
        <w:pStyle w:val="Caption"/>
        <w:rPr>
          <w:rFonts w:ascii="Verdana" w:hAnsi="Verdana"/>
          <w:sz w:val="16"/>
          <w:szCs w:val="16"/>
        </w:rPr>
      </w:pPr>
    </w:p>
    <w:p w14:paraId="2BEC8C47" w14:textId="3849101D" w:rsidR="001913D8" w:rsidRDefault="001913D8" w:rsidP="00E64A97">
      <w:pPr>
        <w:pStyle w:val="Caption"/>
        <w:rPr>
          <w:rFonts w:ascii="Verdana" w:hAnsi="Verdana"/>
          <w:sz w:val="16"/>
          <w:szCs w:val="16"/>
        </w:rPr>
      </w:pPr>
    </w:p>
    <w:p w14:paraId="65FC04D8" w14:textId="1052CA48" w:rsidR="00810DE9" w:rsidRDefault="00810DE9" w:rsidP="00810DE9"/>
    <w:p w14:paraId="5326F0A4" w14:textId="17EA9E2B" w:rsidR="00810DE9" w:rsidRDefault="00810DE9" w:rsidP="00810DE9"/>
    <w:p w14:paraId="1EC2A241" w14:textId="2BD747CB" w:rsidR="00810DE9" w:rsidRDefault="00810DE9" w:rsidP="00810DE9"/>
    <w:p w14:paraId="7CEA08B7" w14:textId="6EB70268" w:rsidR="00810DE9" w:rsidRPr="00810DE9" w:rsidRDefault="00810DE9" w:rsidP="00810DE9">
      <w:pPr>
        <w:rPr>
          <w:b/>
          <w:bCs/>
          <w:color w:val="1C6194" w:themeColor="accent2" w:themeShade="BF"/>
        </w:rPr>
      </w:pPr>
      <w:r w:rsidRPr="00810DE9">
        <w:rPr>
          <w:rFonts w:ascii="Verdana" w:hAnsi="Verdana"/>
          <w:b/>
          <w:bCs/>
          <w:color w:val="1C6194" w:themeColor="accent2" w:themeShade="BF"/>
          <w:sz w:val="16"/>
          <w:szCs w:val="16"/>
        </w:rPr>
        <w:t xml:space="preserve">Figure 7 Mean weight (kg) of donkey dung sea cucumber surveyed at sites within the PHMR (GUZ-General Use Zone, RZ-Replenishment Zone, OUT-Outside Reserve) </w:t>
      </w:r>
      <w:bookmarkStart w:id="0" w:name="OLE_LINK5"/>
      <w:r w:rsidRPr="00810DE9">
        <w:rPr>
          <w:rFonts w:ascii="Verdana" w:hAnsi="Verdana"/>
          <w:b/>
          <w:bCs/>
          <w:color w:val="1C6194" w:themeColor="accent2" w:themeShade="BF"/>
          <w:sz w:val="16"/>
          <w:szCs w:val="16"/>
        </w:rPr>
        <w:t>(±Standard Error bars)</w:t>
      </w:r>
      <w:bookmarkEnd w:id="0"/>
      <w:r w:rsidRPr="00810DE9">
        <w:rPr>
          <w:rFonts w:ascii="Verdana" w:hAnsi="Verdana"/>
          <w:b/>
          <w:bCs/>
          <w:color w:val="1C6194" w:themeColor="accent2" w:themeShade="BF"/>
          <w:sz w:val="16"/>
          <w:szCs w:val="16"/>
        </w:rPr>
        <w:t xml:space="preserve"> in 2020 and 2021; red line indicates the minimum weight limit of 0.2 kg for legal harvesting</w:t>
      </w:r>
      <w:r>
        <w:rPr>
          <w:rFonts w:ascii="Verdana" w:hAnsi="Verdana"/>
          <w:b/>
          <w:bCs/>
          <w:color w:val="1C6194" w:themeColor="accent2" w:themeShade="BF"/>
          <w:sz w:val="16"/>
          <w:szCs w:val="16"/>
        </w:rPr>
        <w:t>.</w:t>
      </w:r>
    </w:p>
    <w:p w14:paraId="5DDD7B64" w14:textId="21EE9E42" w:rsidR="001960C8" w:rsidRPr="00847F64" w:rsidRDefault="00810DE9" w:rsidP="006D015F">
      <w:pPr>
        <w:pStyle w:val="Caption"/>
        <w:spacing w:after="0" w:line="240" w:lineRule="auto"/>
        <w:rPr>
          <w:rFonts w:ascii="Verdana" w:hAnsi="Verdana"/>
          <w:sz w:val="16"/>
          <w:szCs w:val="16"/>
        </w:rPr>
      </w:pPr>
      <w:r>
        <w:rPr>
          <w:noProof/>
        </w:rPr>
        <w:drawing>
          <wp:anchor distT="0" distB="0" distL="114300" distR="114300" simplePos="0" relativeHeight="251687936" behindDoc="0" locked="0" layoutInCell="1" allowOverlap="1" wp14:anchorId="06F1D05E" wp14:editId="0DFD00AF">
            <wp:simplePos x="0" y="0"/>
            <wp:positionH relativeFrom="column">
              <wp:posOffset>2998592</wp:posOffset>
            </wp:positionH>
            <wp:positionV relativeFrom="paragraph">
              <wp:posOffset>1946</wp:posOffset>
            </wp:positionV>
            <wp:extent cx="2937510" cy="18522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37510" cy="1852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B3B81BB" wp14:editId="2F55E05F">
            <wp:simplePos x="0" y="0"/>
            <wp:positionH relativeFrom="column">
              <wp:posOffset>32426</wp:posOffset>
            </wp:positionH>
            <wp:positionV relativeFrom="paragraph">
              <wp:posOffset>337</wp:posOffset>
            </wp:positionV>
            <wp:extent cx="2954020" cy="18542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4020" cy="1854200"/>
                    </a:xfrm>
                    <a:prstGeom prst="rect">
                      <a:avLst/>
                    </a:prstGeom>
                  </pic:spPr>
                </pic:pic>
              </a:graphicData>
            </a:graphic>
            <wp14:sizeRelH relativeFrom="page">
              <wp14:pctWidth>0</wp14:pctWidth>
            </wp14:sizeRelH>
            <wp14:sizeRelV relativeFrom="page">
              <wp14:pctHeight>0</wp14:pctHeight>
            </wp14:sizeRelV>
          </wp:anchor>
        </w:drawing>
      </w:r>
      <w:r w:rsidR="00E64A97" w:rsidRPr="00810DE9">
        <w:rPr>
          <w:rFonts w:ascii="Verdana" w:hAnsi="Verdana"/>
          <w:b w:val="0"/>
          <w:bCs w:val="0"/>
          <w:noProof/>
          <w:sz w:val="20"/>
          <w:szCs w:val="20"/>
        </w:rPr>
        <w:t>8a</w:t>
      </w:r>
      <w:r w:rsidR="00E64A97" w:rsidRPr="00810DE9">
        <w:rPr>
          <w:rFonts w:ascii="Verdana" w:hAnsi="Verdana"/>
          <w:b w:val="0"/>
          <w:bCs w:val="0"/>
          <w:noProof/>
          <w:sz w:val="20"/>
          <w:szCs w:val="20"/>
        </w:rPr>
        <w:tab/>
      </w:r>
      <w:r w:rsidR="00E64A97" w:rsidRPr="00810DE9">
        <w:rPr>
          <w:rFonts w:ascii="Verdana" w:hAnsi="Verdana"/>
          <w:b w:val="0"/>
          <w:bCs w:val="0"/>
          <w:noProof/>
          <w:sz w:val="20"/>
          <w:szCs w:val="20"/>
        </w:rPr>
        <w:tab/>
      </w:r>
      <w:r w:rsidR="00E64A97" w:rsidRPr="00810DE9">
        <w:rPr>
          <w:rFonts w:ascii="Verdana" w:hAnsi="Verdana"/>
          <w:b w:val="0"/>
          <w:bCs w:val="0"/>
          <w:noProof/>
          <w:sz w:val="20"/>
          <w:szCs w:val="20"/>
        </w:rPr>
        <w:tab/>
      </w:r>
      <w:r w:rsidR="00E64A97" w:rsidRPr="00810DE9">
        <w:rPr>
          <w:rFonts w:ascii="Verdana" w:hAnsi="Verdana"/>
          <w:b w:val="0"/>
          <w:bCs w:val="0"/>
          <w:noProof/>
          <w:sz w:val="20"/>
          <w:szCs w:val="20"/>
        </w:rPr>
        <w:tab/>
      </w:r>
      <w:r w:rsidR="00E64A97" w:rsidRPr="00810DE9">
        <w:rPr>
          <w:rFonts w:ascii="Verdana" w:hAnsi="Verdana"/>
          <w:b w:val="0"/>
          <w:bCs w:val="0"/>
          <w:noProof/>
          <w:sz w:val="20"/>
          <w:szCs w:val="20"/>
        </w:rPr>
        <w:tab/>
        <w:t>8b</w:t>
      </w:r>
    </w:p>
    <w:p w14:paraId="2C52C236" w14:textId="77777777" w:rsidR="00847F64" w:rsidRDefault="00847F64" w:rsidP="006D015F">
      <w:pPr>
        <w:pStyle w:val="Caption"/>
        <w:spacing w:after="0" w:line="240" w:lineRule="auto"/>
        <w:rPr>
          <w:rFonts w:ascii="Verdana" w:hAnsi="Verdana"/>
        </w:rPr>
      </w:pPr>
    </w:p>
    <w:p w14:paraId="0551BD78" w14:textId="22BA52F8" w:rsidR="00CA47C4" w:rsidRDefault="00CA47C4" w:rsidP="006D015F">
      <w:pPr>
        <w:pStyle w:val="Caption"/>
        <w:spacing w:after="0" w:line="240" w:lineRule="auto"/>
        <w:rPr>
          <w:rFonts w:ascii="Verdana" w:hAnsi="Verdana"/>
        </w:rPr>
      </w:pPr>
      <w:r w:rsidRPr="001913D8">
        <w:rPr>
          <w:rFonts w:ascii="Verdana" w:hAnsi="Verdana"/>
        </w:rPr>
        <w:t>Figure 8a: Size frequency distribution of donkey dung sea cucumber in the PHMR in 2020 and 2021, and 8b: weight frequency distribution of donkey dung sea cucumber in the PHMR in 2020 and 2021.</w:t>
      </w:r>
    </w:p>
    <w:p w14:paraId="1EC63045" w14:textId="610DABC4" w:rsidR="006D015F" w:rsidRDefault="006C13E5" w:rsidP="006D015F">
      <w:pPr>
        <w:rPr>
          <w:rFonts w:ascii="Verdana" w:hAnsi="Verdana"/>
        </w:rPr>
      </w:pPr>
      <w:r>
        <w:rPr>
          <w:noProof/>
        </w:rPr>
        <w:lastRenderedPageBreak/>
        <w:drawing>
          <wp:anchor distT="0" distB="0" distL="114300" distR="114300" simplePos="0" relativeHeight="251695104" behindDoc="0" locked="0" layoutInCell="1" allowOverlap="1" wp14:anchorId="20BFB73F" wp14:editId="2B7D518B">
            <wp:simplePos x="0" y="0"/>
            <wp:positionH relativeFrom="column">
              <wp:posOffset>32385</wp:posOffset>
            </wp:positionH>
            <wp:positionV relativeFrom="paragraph">
              <wp:posOffset>222885</wp:posOffset>
            </wp:positionV>
            <wp:extent cx="2872740" cy="20275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72740" cy="2027555"/>
                    </a:xfrm>
                    <a:prstGeom prst="rect">
                      <a:avLst/>
                    </a:prstGeom>
                  </pic:spPr>
                </pic:pic>
              </a:graphicData>
            </a:graphic>
            <wp14:sizeRelH relativeFrom="page">
              <wp14:pctWidth>0</wp14:pctWidth>
            </wp14:sizeRelH>
            <wp14:sizeRelV relativeFrom="page">
              <wp14:pctHeight>0</wp14:pctHeight>
            </wp14:sizeRelV>
          </wp:anchor>
        </w:drawing>
      </w:r>
      <w:r w:rsidR="006D015F">
        <w:rPr>
          <w:noProof/>
        </w:rPr>
        <w:drawing>
          <wp:anchor distT="0" distB="0" distL="114300" distR="114300" simplePos="0" relativeHeight="251692032" behindDoc="0" locked="0" layoutInCell="1" allowOverlap="1" wp14:anchorId="1015130F" wp14:editId="356A1998">
            <wp:simplePos x="0" y="0"/>
            <wp:positionH relativeFrom="column">
              <wp:posOffset>2943860</wp:posOffset>
            </wp:positionH>
            <wp:positionV relativeFrom="paragraph">
              <wp:posOffset>209577</wp:posOffset>
            </wp:positionV>
            <wp:extent cx="2813685" cy="203581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13685" cy="2035810"/>
                    </a:xfrm>
                    <a:prstGeom prst="rect">
                      <a:avLst/>
                    </a:prstGeom>
                  </pic:spPr>
                </pic:pic>
              </a:graphicData>
            </a:graphic>
            <wp14:sizeRelH relativeFrom="page">
              <wp14:pctWidth>0</wp14:pctWidth>
            </wp14:sizeRelH>
            <wp14:sizeRelV relativeFrom="page">
              <wp14:pctHeight>0</wp14:pctHeight>
            </wp14:sizeRelV>
          </wp:anchor>
        </w:drawing>
      </w:r>
      <w:r w:rsidRPr="006C13E5">
        <w:rPr>
          <w:noProof/>
        </w:rPr>
        <w:t xml:space="preserve"> </w:t>
      </w:r>
    </w:p>
    <w:p w14:paraId="57A15B88" w14:textId="5B418679" w:rsidR="006D015F" w:rsidRDefault="006D015F" w:rsidP="006D015F">
      <w:pPr>
        <w:spacing w:after="0" w:line="240" w:lineRule="auto"/>
        <w:rPr>
          <w:rFonts w:ascii="Verdana" w:hAnsi="Verdana"/>
        </w:rPr>
      </w:pPr>
    </w:p>
    <w:p w14:paraId="7FE48EEA" w14:textId="739752EC" w:rsidR="006D015F" w:rsidRPr="006D015F" w:rsidRDefault="00AD7AB2" w:rsidP="006D015F">
      <w:pPr>
        <w:spacing w:after="0" w:line="240" w:lineRule="auto"/>
        <w:rPr>
          <w:rFonts w:ascii="Verdana" w:hAnsi="Verdana"/>
          <w:color w:val="1C6194" w:themeColor="accent2" w:themeShade="BF"/>
        </w:rPr>
      </w:pPr>
      <w:r>
        <w:rPr>
          <w:noProof/>
        </w:rPr>
        <w:drawing>
          <wp:anchor distT="0" distB="0" distL="114300" distR="114300" simplePos="0" relativeHeight="251694080" behindDoc="0" locked="0" layoutInCell="1" allowOverlap="1" wp14:anchorId="08D64F79" wp14:editId="6100AA88">
            <wp:simplePos x="0" y="0"/>
            <wp:positionH relativeFrom="column">
              <wp:posOffset>2943860</wp:posOffset>
            </wp:positionH>
            <wp:positionV relativeFrom="paragraph">
              <wp:posOffset>258445</wp:posOffset>
            </wp:positionV>
            <wp:extent cx="2775585" cy="1863090"/>
            <wp:effectExtent l="0" t="0" r="571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75585" cy="1863090"/>
                    </a:xfrm>
                    <a:prstGeom prst="rect">
                      <a:avLst/>
                    </a:prstGeom>
                  </pic:spPr>
                </pic:pic>
              </a:graphicData>
            </a:graphic>
            <wp14:sizeRelH relativeFrom="page">
              <wp14:pctWidth>0</wp14:pctWidth>
            </wp14:sizeRelH>
            <wp14:sizeRelV relativeFrom="page">
              <wp14:pctHeight>0</wp14:pctHeight>
            </wp14:sizeRelV>
          </wp:anchor>
        </w:drawing>
      </w:r>
      <w:r w:rsidR="00EC647E">
        <w:rPr>
          <w:noProof/>
        </w:rPr>
        <w:drawing>
          <wp:anchor distT="0" distB="0" distL="114300" distR="114300" simplePos="0" relativeHeight="251693056" behindDoc="0" locked="0" layoutInCell="1" allowOverlap="1" wp14:anchorId="48DA6F30" wp14:editId="6FD962F5">
            <wp:simplePos x="0" y="0"/>
            <wp:positionH relativeFrom="column">
              <wp:posOffset>0</wp:posOffset>
            </wp:positionH>
            <wp:positionV relativeFrom="paragraph">
              <wp:posOffset>258445</wp:posOffset>
            </wp:positionV>
            <wp:extent cx="2907665" cy="1873885"/>
            <wp:effectExtent l="0" t="0" r="63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07665" cy="1873885"/>
                    </a:xfrm>
                    <a:prstGeom prst="rect">
                      <a:avLst/>
                    </a:prstGeom>
                  </pic:spPr>
                </pic:pic>
              </a:graphicData>
            </a:graphic>
            <wp14:sizeRelH relativeFrom="page">
              <wp14:pctWidth>0</wp14:pctWidth>
            </wp14:sizeRelH>
            <wp14:sizeRelV relativeFrom="page">
              <wp14:pctHeight>0</wp14:pctHeight>
            </wp14:sizeRelV>
          </wp:anchor>
        </w:drawing>
      </w:r>
      <w:r w:rsidR="001960C8" w:rsidRPr="006D015F">
        <w:rPr>
          <w:rFonts w:ascii="Verdana" w:hAnsi="Verdana"/>
          <w:color w:val="1C6194" w:themeColor="accent2" w:themeShade="BF"/>
        </w:rPr>
        <w:t>9</w:t>
      </w:r>
      <w:r w:rsidR="00A168F8" w:rsidRPr="006D015F">
        <w:rPr>
          <w:rFonts w:ascii="Verdana" w:hAnsi="Verdana"/>
          <w:color w:val="1C6194" w:themeColor="accent2" w:themeShade="BF"/>
        </w:rPr>
        <w:t>a</w:t>
      </w:r>
      <w:r w:rsidR="00A168F8" w:rsidRPr="006D015F">
        <w:rPr>
          <w:rFonts w:ascii="Verdana" w:hAnsi="Verdana"/>
          <w:color w:val="1C6194" w:themeColor="accent2" w:themeShade="BF"/>
        </w:rPr>
        <w:tab/>
      </w:r>
      <w:r w:rsidR="00A168F8" w:rsidRPr="006D015F">
        <w:rPr>
          <w:rFonts w:ascii="Verdana" w:hAnsi="Verdana"/>
          <w:color w:val="1C6194" w:themeColor="accent2" w:themeShade="BF"/>
        </w:rPr>
        <w:tab/>
      </w:r>
      <w:r w:rsidR="00A168F8" w:rsidRPr="006D015F">
        <w:rPr>
          <w:rFonts w:ascii="Verdana" w:hAnsi="Verdana"/>
          <w:color w:val="1C6194" w:themeColor="accent2" w:themeShade="BF"/>
        </w:rPr>
        <w:tab/>
      </w:r>
      <w:r w:rsidR="00A168F8" w:rsidRPr="006D015F">
        <w:rPr>
          <w:rFonts w:ascii="Verdana" w:hAnsi="Verdana"/>
          <w:color w:val="1C6194" w:themeColor="accent2" w:themeShade="BF"/>
        </w:rPr>
        <w:tab/>
      </w:r>
      <w:r w:rsidR="00A168F8" w:rsidRPr="006D015F">
        <w:rPr>
          <w:rFonts w:ascii="Verdana" w:hAnsi="Verdana"/>
          <w:color w:val="1C6194" w:themeColor="accent2" w:themeShade="BF"/>
        </w:rPr>
        <w:tab/>
      </w:r>
      <w:r w:rsidR="00A168F8" w:rsidRPr="006D015F">
        <w:rPr>
          <w:rFonts w:ascii="Verdana" w:hAnsi="Verdana"/>
          <w:color w:val="1C6194" w:themeColor="accent2" w:themeShade="BF"/>
        </w:rPr>
        <w:tab/>
      </w:r>
      <w:r w:rsidR="006D015F" w:rsidRPr="006D015F">
        <w:rPr>
          <w:rFonts w:ascii="Verdana" w:hAnsi="Verdana"/>
          <w:b/>
          <w:bCs/>
          <w:color w:val="1C6194" w:themeColor="accent2" w:themeShade="BF"/>
        </w:rPr>
        <w:tab/>
      </w:r>
      <w:r w:rsidR="001960C8" w:rsidRPr="006D015F">
        <w:rPr>
          <w:rFonts w:ascii="Verdana" w:hAnsi="Verdana"/>
          <w:color w:val="1C6194" w:themeColor="accent2" w:themeShade="BF"/>
        </w:rPr>
        <w:t>9</w:t>
      </w:r>
      <w:r w:rsidR="00A168F8" w:rsidRPr="006D015F">
        <w:rPr>
          <w:rFonts w:ascii="Verdana" w:hAnsi="Verdana"/>
          <w:color w:val="1C6194" w:themeColor="accent2" w:themeShade="BF"/>
        </w:rPr>
        <w:t>b</w:t>
      </w:r>
    </w:p>
    <w:p w14:paraId="362CC205" w14:textId="6D5649EA" w:rsidR="006D015F" w:rsidRPr="006D015F" w:rsidRDefault="006D015F" w:rsidP="006D015F">
      <w:pPr>
        <w:spacing w:after="0" w:line="240" w:lineRule="auto"/>
        <w:rPr>
          <w:rFonts w:ascii="Verdana" w:hAnsi="Verdana"/>
          <w:color w:val="1C6194" w:themeColor="accent2" w:themeShade="BF"/>
        </w:rPr>
      </w:pPr>
    </w:p>
    <w:p w14:paraId="75A8C318" w14:textId="4030CADD" w:rsidR="002B4927" w:rsidRPr="006D015F" w:rsidRDefault="001960C8" w:rsidP="006D015F">
      <w:pPr>
        <w:spacing w:after="0" w:line="240" w:lineRule="auto"/>
      </w:pPr>
      <w:r w:rsidRPr="006D015F">
        <w:rPr>
          <w:rFonts w:ascii="Verdana" w:hAnsi="Verdana"/>
          <w:color w:val="1C6194" w:themeColor="accent2" w:themeShade="BF"/>
        </w:rPr>
        <w:t>9</w:t>
      </w:r>
      <w:r w:rsidR="00E9629B" w:rsidRPr="006D015F">
        <w:rPr>
          <w:rFonts w:ascii="Verdana" w:hAnsi="Verdana"/>
          <w:color w:val="1C6194" w:themeColor="accent2" w:themeShade="BF"/>
        </w:rPr>
        <w:t>c</w:t>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r>
      <w:r w:rsidR="006D015F" w:rsidRPr="006D015F">
        <w:rPr>
          <w:rFonts w:ascii="Verdana" w:hAnsi="Verdana"/>
          <w:color w:val="1C6194" w:themeColor="accent2" w:themeShade="BF"/>
        </w:rPr>
        <w:tab/>
        <w:t>9d</w:t>
      </w:r>
      <w:r w:rsidR="00E9629B" w:rsidRPr="006D015F">
        <w:rPr>
          <w:rFonts w:ascii="Verdana" w:hAnsi="Verdana"/>
          <w:color w:val="1C6194" w:themeColor="accent2" w:themeShade="BF"/>
        </w:rPr>
        <w:tab/>
      </w:r>
      <w:r w:rsidR="00E9629B" w:rsidRPr="00810DE9">
        <w:rPr>
          <w:rFonts w:ascii="Verdana" w:hAnsi="Verdana"/>
        </w:rPr>
        <w:tab/>
      </w:r>
      <w:r w:rsidR="00E9629B" w:rsidRPr="00810DE9">
        <w:rPr>
          <w:rFonts w:ascii="Verdana" w:hAnsi="Verdana"/>
        </w:rPr>
        <w:tab/>
      </w:r>
      <w:r w:rsidR="00E9629B" w:rsidRPr="00810DE9">
        <w:rPr>
          <w:rFonts w:ascii="Verdana" w:hAnsi="Verdana"/>
        </w:rPr>
        <w:tab/>
      </w:r>
      <w:r w:rsidR="00E9629B" w:rsidRPr="00810DE9">
        <w:rPr>
          <w:rFonts w:ascii="Verdana" w:hAnsi="Verdana"/>
        </w:rPr>
        <w:tab/>
      </w:r>
      <w:r w:rsidR="00E9629B" w:rsidRPr="00810DE9">
        <w:rPr>
          <w:rFonts w:ascii="Verdana" w:hAnsi="Verdana"/>
        </w:rPr>
        <w:tab/>
      </w:r>
      <w:r w:rsidR="00E9629B" w:rsidRPr="00810DE9">
        <w:rPr>
          <w:rFonts w:ascii="Verdana" w:hAnsi="Verdana"/>
        </w:rPr>
        <w:tab/>
      </w:r>
      <w:bookmarkStart w:id="1" w:name="OLE_LINK1"/>
    </w:p>
    <w:p w14:paraId="03CAA906" w14:textId="4797F811" w:rsidR="00843CA3" w:rsidRDefault="00843CA3" w:rsidP="006D015F">
      <w:pPr>
        <w:pStyle w:val="Caption"/>
        <w:spacing w:after="0" w:line="240" w:lineRule="auto"/>
        <w:rPr>
          <w:rFonts w:ascii="Verdana" w:hAnsi="Verdana"/>
        </w:rPr>
      </w:pPr>
      <w:r w:rsidRPr="0031288E">
        <w:rPr>
          <w:rFonts w:ascii="Verdana" w:hAnsi="Verdana"/>
        </w:rPr>
        <w:t xml:space="preserve">Figure </w:t>
      </w:r>
      <w:r w:rsidR="001960C8">
        <w:rPr>
          <w:rFonts w:ascii="Verdana" w:hAnsi="Verdana"/>
        </w:rPr>
        <w:t>9</w:t>
      </w:r>
      <w:r w:rsidR="00E9629B">
        <w:rPr>
          <w:rFonts w:ascii="Verdana" w:hAnsi="Verdana"/>
        </w:rPr>
        <w:t>a-d</w:t>
      </w:r>
      <w:r w:rsidRPr="0031288E">
        <w:rPr>
          <w:rFonts w:ascii="Verdana" w:hAnsi="Verdana"/>
        </w:rPr>
        <w:t xml:space="preserve">: </w:t>
      </w:r>
      <w:bookmarkEnd w:id="1"/>
      <w:r w:rsidRPr="0031288E">
        <w:rPr>
          <w:rFonts w:ascii="Verdana" w:hAnsi="Verdana"/>
        </w:rPr>
        <w:t xml:space="preserve">Mean density per </w:t>
      </w:r>
      <w:r w:rsidR="00944725">
        <w:rPr>
          <w:rFonts w:ascii="Verdana" w:hAnsi="Verdana"/>
        </w:rPr>
        <w:t>h</w:t>
      </w:r>
      <w:r w:rsidRPr="0031288E">
        <w:rPr>
          <w:rFonts w:ascii="Verdana" w:hAnsi="Verdana"/>
        </w:rPr>
        <w:t xml:space="preserve">a </w:t>
      </w:r>
      <w:r w:rsidR="00CB453B" w:rsidRPr="0031288E">
        <w:rPr>
          <w:rFonts w:ascii="Verdana" w:hAnsi="Verdana"/>
        </w:rPr>
        <w:t>(</w:t>
      </w:r>
      <w:r w:rsidR="00E9629B">
        <w:rPr>
          <w:rFonts w:ascii="Verdana" w:hAnsi="Verdana"/>
        </w:rPr>
        <w:t>a</w:t>
      </w:r>
      <w:r w:rsidRPr="0031288E">
        <w:rPr>
          <w:rFonts w:ascii="Verdana" w:hAnsi="Verdana"/>
        </w:rPr>
        <w:t xml:space="preserve">), length </w:t>
      </w:r>
      <w:r w:rsidR="00E9629B">
        <w:rPr>
          <w:rFonts w:ascii="Verdana" w:hAnsi="Verdana"/>
        </w:rPr>
        <w:t>in cm</w:t>
      </w:r>
      <w:r w:rsidRPr="0031288E">
        <w:rPr>
          <w:rFonts w:ascii="Verdana" w:hAnsi="Verdana"/>
        </w:rPr>
        <w:t xml:space="preserve"> (</w:t>
      </w:r>
      <w:r w:rsidR="00E9629B">
        <w:rPr>
          <w:rFonts w:ascii="Verdana" w:hAnsi="Verdana"/>
        </w:rPr>
        <w:t>b</w:t>
      </w:r>
      <w:r w:rsidRPr="0031288E">
        <w:rPr>
          <w:rFonts w:ascii="Verdana" w:hAnsi="Verdana"/>
        </w:rPr>
        <w:t>)</w:t>
      </w:r>
      <w:r w:rsidR="00E9629B">
        <w:rPr>
          <w:rFonts w:ascii="Verdana" w:hAnsi="Verdana"/>
        </w:rPr>
        <w:t>,</w:t>
      </w:r>
      <w:r w:rsidRPr="0031288E">
        <w:rPr>
          <w:rFonts w:ascii="Verdana" w:hAnsi="Verdana"/>
        </w:rPr>
        <w:t xml:space="preserve"> </w:t>
      </w:r>
      <w:r w:rsidR="00E9629B">
        <w:rPr>
          <w:rFonts w:ascii="Verdana" w:hAnsi="Verdana"/>
        </w:rPr>
        <w:t>width</w:t>
      </w:r>
      <w:r w:rsidRPr="0031288E">
        <w:rPr>
          <w:rFonts w:ascii="Verdana" w:hAnsi="Verdana"/>
        </w:rPr>
        <w:t xml:space="preserve"> in </w:t>
      </w:r>
      <w:r w:rsidR="00E9629B">
        <w:rPr>
          <w:rFonts w:ascii="Verdana" w:hAnsi="Verdana"/>
        </w:rPr>
        <w:t>c</w:t>
      </w:r>
      <w:r w:rsidRPr="0031288E">
        <w:rPr>
          <w:rFonts w:ascii="Verdana" w:hAnsi="Verdana"/>
        </w:rPr>
        <w:t>m (</w:t>
      </w:r>
      <w:r w:rsidR="00E9629B">
        <w:rPr>
          <w:rFonts w:ascii="Verdana" w:hAnsi="Verdana"/>
        </w:rPr>
        <w:t>c</w:t>
      </w:r>
      <w:r w:rsidRPr="0031288E">
        <w:rPr>
          <w:rFonts w:ascii="Verdana" w:hAnsi="Verdana"/>
        </w:rPr>
        <w:t xml:space="preserve">) </w:t>
      </w:r>
      <w:r w:rsidR="00E9629B">
        <w:rPr>
          <w:rFonts w:ascii="Verdana" w:hAnsi="Verdana"/>
        </w:rPr>
        <w:t xml:space="preserve">and weight in kg (d) </w:t>
      </w:r>
      <w:r w:rsidRPr="0031288E">
        <w:rPr>
          <w:rFonts w:ascii="Verdana" w:hAnsi="Verdana"/>
        </w:rPr>
        <w:t xml:space="preserve">of </w:t>
      </w:r>
      <w:bookmarkStart w:id="2" w:name="OLE_LINK6"/>
      <w:r w:rsidR="00E9629B">
        <w:rPr>
          <w:rFonts w:ascii="Verdana" w:hAnsi="Verdana"/>
        </w:rPr>
        <w:t>donkey dung</w:t>
      </w:r>
      <w:bookmarkEnd w:id="2"/>
      <w:r w:rsidR="00E9629B">
        <w:rPr>
          <w:rFonts w:ascii="Verdana" w:hAnsi="Verdana"/>
        </w:rPr>
        <w:t xml:space="preserve"> sea cucumber</w:t>
      </w:r>
      <w:r w:rsidRPr="0031288E">
        <w:rPr>
          <w:rFonts w:ascii="Verdana" w:hAnsi="Verdana"/>
        </w:rPr>
        <w:t xml:space="preserve">, among </w:t>
      </w:r>
      <w:r w:rsidR="00E9629B">
        <w:rPr>
          <w:rFonts w:ascii="Verdana" w:hAnsi="Verdana"/>
        </w:rPr>
        <w:t xml:space="preserve">the </w:t>
      </w:r>
      <w:r w:rsidRPr="0031288E">
        <w:rPr>
          <w:rFonts w:ascii="Verdana" w:hAnsi="Verdana"/>
        </w:rPr>
        <w:t xml:space="preserve">management zones of the PHMR (GUZ-General Use Zone, RZ-Replenishment Zone, OUT-Outside the Reserve) </w:t>
      </w:r>
      <w:bookmarkStart w:id="3" w:name="OLE_LINK3"/>
      <w:r w:rsidRPr="0031288E">
        <w:rPr>
          <w:rFonts w:ascii="Verdana" w:hAnsi="Verdana"/>
        </w:rPr>
        <w:t>(</w:t>
      </w:r>
      <w:r w:rsidRPr="0031288E">
        <w:rPr>
          <w:rFonts w:ascii="Verdana" w:hAnsi="Verdana" w:cs="Times New Roman"/>
        </w:rPr>
        <w:t>±</w:t>
      </w:r>
      <w:r w:rsidRPr="0031288E">
        <w:rPr>
          <w:rFonts w:ascii="Verdana" w:hAnsi="Verdana"/>
        </w:rPr>
        <w:t>Standard Error Bars, S.E.),</w:t>
      </w:r>
      <w:bookmarkEnd w:id="3"/>
      <w:r w:rsidRPr="0031288E">
        <w:rPr>
          <w:rFonts w:ascii="Verdana" w:hAnsi="Verdana"/>
        </w:rPr>
        <w:t xml:space="preserve"> </w:t>
      </w:r>
      <w:r w:rsidR="00E9629B">
        <w:rPr>
          <w:rFonts w:ascii="Verdana" w:hAnsi="Verdana"/>
        </w:rPr>
        <w:t>in 2020 and 2021</w:t>
      </w:r>
      <w:r w:rsidRPr="0031288E">
        <w:rPr>
          <w:rFonts w:ascii="Verdana" w:hAnsi="Verdana"/>
        </w:rPr>
        <w:t>.</w:t>
      </w:r>
    </w:p>
    <w:p w14:paraId="613C41C2" w14:textId="41A2EB88" w:rsidR="00ED2E53" w:rsidRDefault="00ED2E53" w:rsidP="00ED2E53">
      <w:r>
        <w:rPr>
          <w:noProof/>
        </w:rPr>
        <w:lastRenderedPageBreak/>
        <w:drawing>
          <wp:inline distT="0" distB="0" distL="0" distR="0" wp14:anchorId="187991BF" wp14:editId="0C9D300D">
            <wp:extent cx="3897549" cy="273619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2265" cy="2760567"/>
                    </a:xfrm>
                    <a:prstGeom prst="rect">
                      <a:avLst/>
                    </a:prstGeom>
                  </pic:spPr>
                </pic:pic>
              </a:graphicData>
            </a:graphic>
          </wp:inline>
        </w:drawing>
      </w:r>
    </w:p>
    <w:p w14:paraId="18F061FC" w14:textId="2C148356" w:rsidR="00847F64" w:rsidRDefault="00847F64" w:rsidP="00847F64">
      <w:pPr>
        <w:pStyle w:val="Caption"/>
        <w:spacing w:after="0" w:line="240" w:lineRule="auto"/>
        <w:rPr>
          <w:rFonts w:ascii="Verdana" w:hAnsi="Verdana"/>
        </w:rPr>
      </w:pPr>
      <w:bookmarkStart w:id="4" w:name="OLE_LINK2"/>
      <w:r w:rsidRPr="0031288E">
        <w:rPr>
          <w:rFonts w:ascii="Verdana" w:hAnsi="Verdana"/>
        </w:rPr>
        <w:t xml:space="preserve">Figure </w:t>
      </w:r>
      <w:r>
        <w:rPr>
          <w:rFonts w:ascii="Verdana" w:hAnsi="Verdana"/>
        </w:rPr>
        <w:t>10</w:t>
      </w:r>
      <w:r w:rsidR="00944725">
        <w:rPr>
          <w:rFonts w:ascii="Verdana" w:hAnsi="Verdana"/>
        </w:rPr>
        <w:t>a</w:t>
      </w:r>
      <w:r w:rsidRPr="0031288E">
        <w:rPr>
          <w:rFonts w:ascii="Verdana" w:hAnsi="Verdana"/>
        </w:rPr>
        <w:t xml:space="preserve">: Mean density per </w:t>
      </w:r>
      <w:r w:rsidR="00944725">
        <w:rPr>
          <w:rFonts w:ascii="Verdana" w:hAnsi="Verdana"/>
        </w:rPr>
        <w:t>h</w:t>
      </w:r>
      <w:r w:rsidRPr="0031288E">
        <w:rPr>
          <w:rFonts w:ascii="Verdana" w:hAnsi="Verdana"/>
        </w:rPr>
        <w:t xml:space="preserve">a of </w:t>
      </w:r>
      <w:r>
        <w:rPr>
          <w:rFonts w:ascii="Verdana" w:hAnsi="Verdana"/>
        </w:rPr>
        <w:t>donkey dung sea cucumber</w:t>
      </w:r>
      <w:r w:rsidRPr="0031288E">
        <w:rPr>
          <w:rFonts w:ascii="Verdana" w:hAnsi="Verdana"/>
        </w:rPr>
        <w:t xml:space="preserve">, among </w:t>
      </w:r>
      <w:r>
        <w:rPr>
          <w:rFonts w:ascii="Verdana" w:hAnsi="Verdana"/>
        </w:rPr>
        <w:t xml:space="preserve">the </w:t>
      </w:r>
      <w:r w:rsidRPr="0031288E">
        <w:rPr>
          <w:rFonts w:ascii="Verdana" w:hAnsi="Verdana"/>
        </w:rPr>
        <w:t xml:space="preserve">management zones of the PHMR (GUZ-General Use Zone, RZ-Replenishment Zone, OUT-Outside the Reserve) </w:t>
      </w:r>
      <w:r>
        <w:rPr>
          <w:rFonts w:ascii="Verdana" w:hAnsi="Verdana"/>
        </w:rPr>
        <w:t>from 2017 to 2021</w:t>
      </w:r>
      <w:r w:rsidRPr="0031288E">
        <w:rPr>
          <w:rFonts w:ascii="Verdana" w:hAnsi="Verdana"/>
        </w:rPr>
        <w:t>.</w:t>
      </w:r>
    </w:p>
    <w:p w14:paraId="2232A93C" w14:textId="58EBB6A5" w:rsidR="00ED2E53" w:rsidRDefault="00ED2E53" w:rsidP="00ED2E53"/>
    <w:bookmarkEnd w:id="4"/>
    <w:p w14:paraId="5EE05AA0" w14:textId="12CD245E" w:rsidR="00ED2E53" w:rsidRDefault="00ED2E53" w:rsidP="00ED2E53">
      <w:r>
        <w:rPr>
          <w:noProof/>
        </w:rPr>
        <w:drawing>
          <wp:inline distT="0" distB="0" distL="0" distR="0" wp14:anchorId="5095EC43" wp14:editId="1B98BF20">
            <wp:extent cx="3938911" cy="29251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2440" cy="2942620"/>
                    </a:xfrm>
                    <a:prstGeom prst="rect">
                      <a:avLst/>
                    </a:prstGeom>
                  </pic:spPr>
                </pic:pic>
              </a:graphicData>
            </a:graphic>
          </wp:inline>
        </w:drawing>
      </w:r>
    </w:p>
    <w:p w14:paraId="77F41D10" w14:textId="62B92262" w:rsidR="00944725" w:rsidRDefault="00944725" w:rsidP="00944725">
      <w:pPr>
        <w:pStyle w:val="Caption"/>
        <w:spacing w:after="0" w:line="240" w:lineRule="auto"/>
        <w:rPr>
          <w:rFonts w:ascii="Verdana" w:hAnsi="Verdana"/>
        </w:rPr>
      </w:pPr>
      <w:r w:rsidRPr="0031288E">
        <w:rPr>
          <w:rFonts w:ascii="Verdana" w:hAnsi="Verdana"/>
        </w:rPr>
        <w:t xml:space="preserve">Figure </w:t>
      </w:r>
      <w:r>
        <w:rPr>
          <w:rFonts w:ascii="Verdana" w:hAnsi="Verdana"/>
        </w:rPr>
        <w:t>10b</w:t>
      </w:r>
      <w:r w:rsidRPr="0031288E">
        <w:rPr>
          <w:rFonts w:ascii="Verdana" w:hAnsi="Verdana"/>
        </w:rPr>
        <w:t xml:space="preserve">: Mean </w:t>
      </w:r>
      <w:r>
        <w:rPr>
          <w:rFonts w:ascii="Verdana" w:hAnsi="Verdana"/>
        </w:rPr>
        <w:t>length(cm)</w:t>
      </w:r>
      <w:r w:rsidRPr="0031288E">
        <w:rPr>
          <w:rFonts w:ascii="Verdana" w:hAnsi="Verdana"/>
        </w:rPr>
        <w:t xml:space="preserve"> of </w:t>
      </w:r>
      <w:r>
        <w:rPr>
          <w:rFonts w:ascii="Verdana" w:hAnsi="Verdana"/>
        </w:rPr>
        <w:t>donkey dung sea cucumber</w:t>
      </w:r>
      <w:r w:rsidRPr="0031288E">
        <w:rPr>
          <w:rFonts w:ascii="Verdana" w:hAnsi="Verdana"/>
        </w:rPr>
        <w:t xml:space="preserve">, among </w:t>
      </w:r>
      <w:r>
        <w:rPr>
          <w:rFonts w:ascii="Verdana" w:hAnsi="Verdana"/>
        </w:rPr>
        <w:t xml:space="preserve">the </w:t>
      </w:r>
      <w:r w:rsidRPr="0031288E">
        <w:rPr>
          <w:rFonts w:ascii="Verdana" w:hAnsi="Verdana"/>
        </w:rPr>
        <w:t xml:space="preserve">management zones of the PHMR (GUZ-General Use Zone, RZ-Replenishment Zone, OUT-Outside the Reserve) </w:t>
      </w:r>
      <w:r>
        <w:rPr>
          <w:rFonts w:ascii="Verdana" w:hAnsi="Verdana"/>
        </w:rPr>
        <w:t>from 2017 to 2021</w:t>
      </w:r>
      <w:r w:rsidRPr="0031288E">
        <w:rPr>
          <w:rFonts w:ascii="Verdana" w:hAnsi="Verdana"/>
        </w:rPr>
        <w:t>.</w:t>
      </w:r>
    </w:p>
    <w:p w14:paraId="6B0BE19A" w14:textId="77777777" w:rsidR="00944725" w:rsidRDefault="00944725" w:rsidP="00944725"/>
    <w:p w14:paraId="10A6A6CA" w14:textId="66C31AA6" w:rsidR="00ED2E53" w:rsidRDefault="00ED2E53" w:rsidP="00ED2E53">
      <w:r>
        <w:rPr>
          <w:noProof/>
        </w:rPr>
        <w:lastRenderedPageBreak/>
        <w:drawing>
          <wp:inline distT="0" distB="0" distL="0" distR="0" wp14:anchorId="65E23D86" wp14:editId="320FCD57">
            <wp:extent cx="3910519" cy="288567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5992" cy="2904476"/>
                    </a:xfrm>
                    <a:prstGeom prst="rect">
                      <a:avLst/>
                    </a:prstGeom>
                  </pic:spPr>
                </pic:pic>
              </a:graphicData>
            </a:graphic>
          </wp:inline>
        </w:drawing>
      </w:r>
    </w:p>
    <w:p w14:paraId="7368EFF3" w14:textId="70D3C456" w:rsidR="00944725" w:rsidRDefault="00944725" w:rsidP="00944725">
      <w:pPr>
        <w:pStyle w:val="Caption"/>
        <w:spacing w:after="0" w:line="240" w:lineRule="auto"/>
        <w:rPr>
          <w:rFonts w:ascii="Verdana" w:hAnsi="Verdana"/>
        </w:rPr>
      </w:pPr>
      <w:r w:rsidRPr="0031288E">
        <w:rPr>
          <w:rFonts w:ascii="Verdana" w:hAnsi="Verdana"/>
        </w:rPr>
        <w:t xml:space="preserve">Figure </w:t>
      </w:r>
      <w:r>
        <w:rPr>
          <w:rFonts w:ascii="Verdana" w:hAnsi="Verdana"/>
        </w:rPr>
        <w:t>10c</w:t>
      </w:r>
      <w:r w:rsidRPr="0031288E">
        <w:rPr>
          <w:rFonts w:ascii="Verdana" w:hAnsi="Verdana"/>
        </w:rPr>
        <w:t xml:space="preserve">: Mean </w:t>
      </w:r>
      <w:r>
        <w:rPr>
          <w:rFonts w:ascii="Verdana" w:hAnsi="Verdana"/>
        </w:rPr>
        <w:t>weight (kg)</w:t>
      </w:r>
      <w:r w:rsidRPr="0031288E">
        <w:rPr>
          <w:rFonts w:ascii="Verdana" w:hAnsi="Verdana"/>
        </w:rPr>
        <w:t xml:space="preserve"> of </w:t>
      </w:r>
      <w:r>
        <w:rPr>
          <w:rFonts w:ascii="Verdana" w:hAnsi="Verdana"/>
        </w:rPr>
        <w:t>donkey dung sea cucumber</w:t>
      </w:r>
      <w:r w:rsidRPr="0031288E">
        <w:rPr>
          <w:rFonts w:ascii="Verdana" w:hAnsi="Verdana"/>
        </w:rPr>
        <w:t xml:space="preserve">, among </w:t>
      </w:r>
      <w:r>
        <w:rPr>
          <w:rFonts w:ascii="Verdana" w:hAnsi="Verdana"/>
        </w:rPr>
        <w:t xml:space="preserve">the </w:t>
      </w:r>
      <w:r w:rsidRPr="0031288E">
        <w:rPr>
          <w:rFonts w:ascii="Verdana" w:hAnsi="Verdana"/>
        </w:rPr>
        <w:t xml:space="preserve">management zones of the PHMR (GUZ-General Use Zone, RZ-Replenishment Zone, OUT-Outside the Reserve) </w:t>
      </w:r>
      <w:r>
        <w:rPr>
          <w:rFonts w:ascii="Verdana" w:hAnsi="Verdana"/>
        </w:rPr>
        <w:t>from 2017 to 2021</w:t>
      </w:r>
      <w:r w:rsidRPr="0031288E">
        <w:rPr>
          <w:rFonts w:ascii="Verdana" w:hAnsi="Verdana"/>
        </w:rPr>
        <w:t>.</w:t>
      </w:r>
    </w:p>
    <w:p w14:paraId="1BCA4221" w14:textId="77777777" w:rsidR="00944725" w:rsidRDefault="00944725" w:rsidP="00944725"/>
    <w:p w14:paraId="44FDB06C" w14:textId="267377C6" w:rsidR="00226EB9" w:rsidRPr="0031288E" w:rsidRDefault="00226EB9" w:rsidP="0031054B">
      <w:pPr>
        <w:pStyle w:val="Caption"/>
        <w:rPr>
          <w:rFonts w:ascii="Verdana" w:hAnsi="Verdana"/>
        </w:rPr>
      </w:pPr>
      <w:r w:rsidRPr="0031288E">
        <w:rPr>
          <w:rFonts w:ascii="Verdana" w:hAnsi="Verdana" w:cs="Bangla MN"/>
          <w:sz w:val="28"/>
          <w:szCs w:val="28"/>
        </w:rPr>
        <w:t>Discussion &amp; Recommendations</w:t>
      </w:r>
    </w:p>
    <w:p w14:paraId="509645D4" w14:textId="77777777" w:rsidR="00226EB9" w:rsidRPr="0031288E" w:rsidRDefault="00226EB9" w:rsidP="00226EB9">
      <w:pPr>
        <w:spacing w:line="276" w:lineRule="auto"/>
        <w:jc w:val="both"/>
        <w:rPr>
          <w:rFonts w:ascii="Verdana" w:hAnsi="Verdana" w:cs="Bangla MN"/>
          <w:b/>
          <w:bCs/>
          <w:sz w:val="28"/>
          <w:szCs w:val="28"/>
        </w:rPr>
        <w:sectPr w:rsidR="00226EB9" w:rsidRPr="0031288E" w:rsidSect="00E62735">
          <w:type w:val="continuous"/>
          <w:pgSz w:w="12240" w:h="15840"/>
          <w:pgMar w:top="1440" w:right="1440" w:bottom="1440" w:left="1440" w:header="720" w:footer="720" w:gutter="0"/>
          <w:cols w:space="720"/>
          <w:docGrid w:linePitch="360"/>
        </w:sectPr>
      </w:pPr>
    </w:p>
    <w:p w14:paraId="55012555" w14:textId="5287ACD6" w:rsidR="00CD27A6" w:rsidRPr="0070190A" w:rsidRDefault="00774B91" w:rsidP="0070190A">
      <w:pPr>
        <w:spacing w:line="276" w:lineRule="auto"/>
        <w:jc w:val="both"/>
        <w:rPr>
          <w:rFonts w:ascii="Verdana" w:hAnsi="Verdana"/>
          <w:i w:val="0"/>
          <w:iCs w:val="0"/>
          <w:sz w:val="22"/>
          <w:szCs w:val="22"/>
        </w:rPr>
      </w:pPr>
      <w:r w:rsidRPr="0070190A">
        <w:rPr>
          <w:rFonts w:ascii="Verdana" w:hAnsi="Verdana"/>
          <w:i w:val="0"/>
          <w:iCs w:val="0"/>
          <w:sz w:val="22"/>
          <w:szCs w:val="22"/>
        </w:rPr>
        <w:t xml:space="preserve">Although the moratorium has been lifted on sea cucumber fishing, with fishing resumed </w:t>
      </w:r>
      <w:r w:rsidR="0050077D">
        <w:rPr>
          <w:rFonts w:ascii="Verdana" w:hAnsi="Verdana"/>
          <w:i w:val="0"/>
          <w:iCs w:val="0"/>
          <w:sz w:val="22"/>
          <w:szCs w:val="22"/>
        </w:rPr>
        <w:t>in</w:t>
      </w:r>
      <w:r w:rsidRPr="0070190A">
        <w:rPr>
          <w:rFonts w:ascii="Verdana" w:hAnsi="Verdana"/>
          <w:i w:val="0"/>
          <w:iCs w:val="0"/>
          <w:sz w:val="22"/>
          <w:szCs w:val="22"/>
        </w:rPr>
        <w:t xml:space="preserve"> 2020, there has not been a significant increase in the population of donkey dung sea cucumbers in the PHMR</w:t>
      </w:r>
      <w:r w:rsidR="0050077D">
        <w:rPr>
          <w:rFonts w:ascii="Verdana" w:hAnsi="Verdana"/>
          <w:i w:val="0"/>
          <w:iCs w:val="0"/>
          <w:sz w:val="22"/>
          <w:szCs w:val="22"/>
        </w:rPr>
        <w:t xml:space="preserve"> over the </w:t>
      </w:r>
      <w:r w:rsidR="009A4B98">
        <w:rPr>
          <w:rFonts w:ascii="Verdana" w:hAnsi="Verdana"/>
          <w:i w:val="0"/>
          <w:iCs w:val="0"/>
          <w:sz w:val="22"/>
          <w:szCs w:val="22"/>
        </w:rPr>
        <w:t>four-year</w:t>
      </w:r>
      <w:r w:rsidR="0050077D">
        <w:rPr>
          <w:rFonts w:ascii="Verdana" w:hAnsi="Verdana"/>
          <w:i w:val="0"/>
          <w:iCs w:val="0"/>
          <w:sz w:val="22"/>
          <w:szCs w:val="22"/>
        </w:rPr>
        <w:t xml:space="preserve"> period of the moratorium</w:t>
      </w:r>
      <w:r w:rsidRPr="0070190A">
        <w:rPr>
          <w:rFonts w:ascii="Verdana" w:hAnsi="Verdana"/>
          <w:i w:val="0"/>
          <w:iCs w:val="0"/>
          <w:sz w:val="22"/>
          <w:szCs w:val="22"/>
        </w:rPr>
        <w:t xml:space="preserve">. Sea cucumbers are primarily in the general use (fishing) zones in low numbers with a mean density of </w:t>
      </w:r>
      <w:r w:rsidR="001A3F05" w:rsidRPr="0070190A">
        <w:rPr>
          <w:rFonts w:ascii="Verdana" w:hAnsi="Verdana"/>
          <w:i w:val="0"/>
          <w:iCs w:val="0"/>
          <w:sz w:val="22"/>
          <w:szCs w:val="22"/>
        </w:rPr>
        <w:t>21</w:t>
      </w:r>
      <w:r w:rsidRPr="0070190A">
        <w:rPr>
          <w:rFonts w:ascii="Verdana" w:hAnsi="Verdana"/>
          <w:i w:val="0"/>
          <w:iCs w:val="0"/>
          <w:sz w:val="22"/>
          <w:szCs w:val="22"/>
        </w:rPr>
        <w:t>.</w:t>
      </w:r>
      <w:r w:rsidR="001A3F05" w:rsidRPr="0070190A">
        <w:rPr>
          <w:rFonts w:ascii="Verdana" w:hAnsi="Verdana"/>
          <w:i w:val="0"/>
          <w:iCs w:val="0"/>
          <w:sz w:val="22"/>
          <w:szCs w:val="22"/>
        </w:rPr>
        <w:t>7</w:t>
      </w:r>
      <w:r w:rsidRPr="0070190A">
        <w:rPr>
          <w:rFonts w:ascii="Verdana" w:hAnsi="Verdana"/>
          <w:i w:val="0"/>
          <w:iCs w:val="0"/>
          <w:sz w:val="22"/>
          <w:szCs w:val="22"/>
        </w:rPr>
        <w:t xml:space="preserve"> per </w:t>
      </w:r>
      <w:r w:rsidR="001A3F05" w:rsidRPr="0070190A">
        <w:rPr>
          <w:rFonts w:ascii="Verdana" w:hAnsi="Verdana"/>
          <w:i w:val="0"/>
          <w:iCs w:val="0"/>
          <w:sz w:val="22"/>
          <w:szCs w:val="22"/>
        </w:rPr>
        <w:t>h</w:t>
      </w:r>
      <w:r w:rsidRPr="0070190A">
        <w:rPr>
          <w:rFonts w:ascii="Verdana" w:hAnsi="Verdana"/>
          <w:i w:val="0"/>
          <w:iCs w:val="0"/>
          <w:sz w:val="22"/>
          <w:szCs w:val="22"/>
        </w:rPr>
        <w:t xml:space="preserve">a, an increase of approximately 53% since 2020. While this is a positive trend, further observation of whether numbers will increase, remains to be seen. The mean size does not meet the legal-size limit of 25.4 cm for all but three sites in 2021. However, the regulations state minimum size OR minimum weight. And in terms of minimum weight of 0.2 kg, all the sites </w:t>
      </w:r>
      <w:r w:rsidR="009A4B98">
        <w:rPr>
          <w:rFonts w:ascii="Verdana" w:hAnsi="Verdana"/>
          <w:i w:val="0"/>
          <w:iCs w:val="0"/>
          <w:sz w:val="22"/>
          <w:szCs w:val="22"/>
        </w:rPr>
        <w:t xml:space="preserve">and majority of sea cucumbers </w:t>
      </w:r>
      <w:r w:rsidRPr="0070190A">
        <w:rPr>
          <w:rFonts w:ascii="Verdana" w:hAnsi="Verdana"/>
          <w:i w:val="0"/>
          <w:iCs w:val="0"/>
          <w:sz w:val="22"/>
          <w:szCs w:val="22"/>
        </w:rPr>
        <w:t xml:space="preserve">surveyed </w:t>
      </w:r>
      <w:r w:rsidR="009A4B98">
        <w:rPr>
          <w:rFonts w:ascii="Verdana" w:hAnsi="Verdana"/>
          <w:i w:val="0"/>
          <w:iCs w:val="0"/>
          <w:sz w:val="22"/>
          <w:szCs w:val="22"/>
        </w:rPr>
        <w:t xml:space="preserve">(95%), </w:t>
      </w:r>
      <w:r w:rsidRPr="0070190A">
        <w:rPr>
          <w:rFonts w:ascii="Verdana" w:hAnsi="Verdana"/>
          <w:i w:val="0"/>
          <w:iCs w:val="0"/>
          <w:sz w:val="22"/>
          <w:szCs w:val="22"/>
        </w:rPr>
        <w:t>for both years</w:t>
      </w:r>
      <w:r w:rsidR="009A4B98">
        <w:rPr>
          <w:rFonts w:ascii="Verdana" w:hAnsi="Verdana"/>
          <w:i w:val="0"/>
          <w:iCs w:val="0"/>
          <w:sz w:val="22"/>
          <w:szCs w:val="22"/>
        </w:rPr>
        <w:t>,</w:t>
      </w:r>
      <w:r w:rsidRPr="0070190A">
        <w:rPr>
          <w:rFonts w:ascii="Verdana" w:hAnsi="Verdana"/>
          <w:i w:val="0"/>
          <w:iCs w:val="0"/>
          <w:sz w:val="22"/>
          <w:szCs w:val="22"/>
        </w:rPr>
        <w:t xml:space="preserve"> exceeded the minimum weight limit. So</w:t>
      </w:r>
      <w:r w:rsidR="001A3F05" w:rsidRPr="0070190A">
        <w:rPr>
          <w:rFonts w:ascii="Verdana" w:hAnsi="Verdana"/>
          <w:i w:val="0"/>
          <w:iCs w:val="0"/>
          <w:sz w:val="22"/>
          <w:szCs w:val="22"/>
        </w:rPr>
        <w:t>,</w:t>
      </w:r>
      <w:r w:rsidRPr="0070190A">
        <w:rPr>
          <w:rFonts w:ascii="Verdana" w:hAnsi="Verdana"/>
          <w:i w:val="0"/>
          <w:iCs w:val="0"/>
          <w:sz w:val="22"/>
          <w:szCs w:val="22"/>
        </w:rPr>
        <w:t xml:space="preserve"> the management measure based on size is being realized for this fishery and the marine reserve has sea cucumbers that are harvestable. </w:t>
      </w:r>
    </w:p>
    <w:p w14:paraId="2D096509" w14:textId="268701E2" w:rsidR="00226EB9" w:rsidRPr="0070190A" w:rsidRDefault="00774B91" w:rsidP="0070190A">
      <w:pPr>
        <w:spacing w:line="276" w:lineRule="auto"/>
        <w:jc w:val="both"/>
        <w:rPr>
          <w:rFonts w:ascii="Verdana" w:hAnsi="Verdana"/>
          <w:i w:val="0"/>
          <w:iCs w:val="0"/>
          <w:sz w:val="22"/>
          <w:szCs w:val="22"/>
        </w:rPr>
      </w:pPr>
      <w:r w:rsidRPr="0070190A">
        <w:rPr>
          <w:rFonts w:ascii="Verdana" w:hAnsi="Verdana"/>
          <w:i w:val="0"/>
          <w:iCs w:val="0"/>
          <w:sz w:val="22"/>
          <w:szCs w:val="22"/>
        </w:rPr>
        <w:t xml:space="preserve">In terms of sea cucumber biology, </w:t>
      </w:r>
      <w:r w:rsidR="001A3F05" w:rsidRPr="0070190A">
        <w:rPr>
          <w:rFonts w:ascii="Verdana" w:hAnsi="Verdana"/>
          <w:i w:val="0"/>
          <w:iCs w:val="0"/>
          <w:sz w:val="22"/>
          <w:szCs w:val="22"/>
        </w:rPr>
        <w:t xml:space="preserve">studies in Belize by Rogers </w:t>
      </w:r>
      <w:r w:rsidR="001A3F05" w:rsidRPr="0070190A">
        <w:rPr>
          <w:rFonts w:ascii="Verdana" w:hAnsi="Verdana"/>
          <w:sz w:val="22"/>
          <w:szCs w:val="22"/>
        </w:rPr>
        <w:t>et al</w:t>
      </w:r>
      <w:r w:rsidR="001A3F05" w:rsidRPr="0070190A">
        <w:rPr>
          <w:rFonts w:ascii="Verdana" w:hAnsi="Verdana"/>
          <w:i w:val="0"/>
          <w:iCs w:val="0"/>
          <w:sz w:val="22"/>
          <w:szCs w:val="22"/>
        </w:rPr>
        <w:t xml:space="preserve">., 2018, have shown that the minimum mean size at maturity for </w:t>
      </w:r>
      <w:r w:rsidR="001A3F05" w:rsidRPr="0070190A">
        <w:rPr>
          <w:rFonts w:ascii="Verdana" w:hAnsi="Verdana"/>
          <w:sz w:val="22"/>
          <w:szCs w:val="22"/>
        </w:rPr>
        <w:t xml:space="preserve">H. </w:t>
      </w:r>
      <w:proofErr w:type="spellStart"/>
      <w:r w:rsidR="001A3F05" w:rsidRPr="0070190A">
        <w:rPr>
          <w:rFonts w:ascii="Verdana" w:hAnsi="Verdana"/>
          <w:sz w:val="22"/>
          <w:szCs w:val="22"/>
        </w:rPr>
        <w:t>mexicana</w:t>
      </w:r>
      <w:proofErr w:type="spellEnd"/>
      <w:r w:rsidR="001A3F05" w:rsidRPr="0070190A">
        <w:rPr>
          <w:rFonts w:ascii="Verdana" w:hAnsi="Verdana"/>
          <w:i w:val="0"/>
          <w:iCs w:val="0"/>
          <w:sz w:val="22"/>
          <w:szCs w:val="22"/>
        </w:rPr>
        <w:t xml:space="preserve"> is 10 cm and 100% maturity occurs at 16 cm, for both males and females. </w:t>
      </w:r>
      <w:r w:rsidR="00AA662C" w:rsidRPr="0070190A">
        <w:rPr>
          <w:rFonts w:ascii="Verdana" w:hAnsi="Verdana"/>
          <w:i w:val="0"/>
          <w:iCs w:val="0"/>
          <w:sz w:val="22"/>
          <w:szCs w:val="22"/>
        </w:rPr>
        <w:t xml:space="preserve">Based on this, all sites had mean sea cucumber length </w:t>
      </w:r>
      <w:r w:rsidR="0050077D">
        <w:rPr>
          <w:rFonts w:ascii="Verdana" w:hAnsi="Verdana"/>
          <w:i w:val="0"/>
          <w:iCs w:val="0"/>
          <w:sz w:val="22"/>
          <w:szCs w:val="22"/>
        </w:rPr>
        <w:t xml:space="preserve">that </w:t>
      </w:r>
      <w:r w:rsidR="00AA662C" w:rsidRPr="0070190A">
        <w:rPr>
          <w:rFonts w:ascii="Verdana" w:hAnsi="Verdana"/>
          <w:i w:val="0"/>
          <w:iCs w:val="0"/>
          <w:sz w:val="22"/>
          <w:szCs w:val="22"/>
        </w:rPr>
        <w:t>exceeded the length of maturity</w:t>
      </w:r>
      <w:r w:rsidR="009A4B98">
        <w:rPr>
          <w:rFonts w:ascii="Verdana" w:hAnsi="Verdana"/>
          <w:i w:val="0"/>
          <w:iCs w:val="0"/>
          <w:sz w:val="22"/>
          <w:szCs w:val="22"/>
        </w:rPr>
        <w:t xml:space="preserve"> and 88-98% of sea cucumbers were sexually mature. </w:t>
      </w:r>
      <w:r w:rsidR="00AA662C" w:rsidRPr="0070190A">
        <w:rPr>
          <w:rFonts w:ascii="Verdana" w:hAnsi="Verdana"/>
          <w:i w:val="0"/>
          <w:iCs w:val="0"/>
          <w:sz w:val="22"/>
          <w:szCs w:val="22"/>
        </w:rPr>
        <w:t xml:space="preserve">However, in regards to abundance, the </w:t>
      </w:r>
      <w:r w:rsidR="00AA662C" w:rsidRPr="0070190A">
        <w:rPr>
          <w:rFonts w:ascii="Verdana" w:hAnsi="Verdana"/>
          <w:sz w:val="22"/>
          <w:szCs w:val="22"/>
        </w:rPr>
        <w:t xml:space="preserve">H. </w:t>
      </w:r>
      <w:proofErr w:type="spellStart"/>
      <w:r w:rsidR="0031689F" w:rsidRPr="0070190A">
        <w:rPr>
          <w:rFonts w:ascii="Verdana" w:hAnsi="Verdana"/>
          <w:sz w:val="22"/>
          <w:szCs w:val="22"/>
        </w:rPr>
        <w:t>m</w:t>
      </w:r>
      <w:r w:rsidR="00AA662C" w:rsidRPr="0070190A">
        <w:rPr>
          <w:rFonts w:ascii="Verdana" w:hAnsi="Verdana"/>
          <w:sz w:val="22"/>
          <w:szCs w:val="22"/>
        </w:rPr>
        <w:t>exicana</w:t>
      </w:r>
      <w:proofErr w:type="spellEnd"/>
      <w:r w:rsidR="00AA662C" w:rsidRPr="0070190A">
        <w:rPr>
          <w:rFonts w:ascii="Verdana" w:hAnsi="Verdana"/>
          <w:i w:val="0"/>
          <w:iCs w:val="0"/>
          <w:sz w:val="22"/>
          <w:szCs w:val="22"/>
        </w:rPr>
        <w:t xml:space="preserve"> populations are on the low</w:t>
      </w:r>
      <w:r w:rsidR="00E56677">
        <w:rPr>
          <w:rFonts w:ascii="Verdana" w:hAnsi="Verdana"/>
          <w:i w:val="0"/>
          <w:iCs w:val="0"/>
          <w:sz w:val="22"/>
          <w:szCs w:val="22"/>
        </w:rPr>
        <w:t>er</w:t>
      </w:r>
      <w:r w:rsidR="00AA662C" w:rsidRPr="0070190A">
        <w:rPr>
          <w:rFonts w:ascii="Verdana" w:hAnsi="Verdana"/>
          <w:i w:val="0"/>
          <w:iCs w:val="0"/>
          <w:sz w:val="22"/>
          <w:szCs w:val="22"/>
        </w:rPr>
        <w:t xml:space="preserve"> side in the PHMR</w:t>
      </w:r>
      <w:r w:rsidR="00E56677">
        <w:rPr>
          <w:rFonts w:ascii="Verdana" w:hAnsi="Verdana"/>
          <w:i w:val="0"/>
          <w:iCs w:val="0"/>
          <w:sz w:val="22"/>
          <w:szCs w:val="22"/>
        </w:rPr>
        <w:t>, especially for 2020</w:t>
      </w:r>
      <w:r w:rsidR="00AA662C" w:rsidRPr="0070190A">
        <w:rPr>
          <w:rFonts w:ascii="Verdana" w:hAnsi="Verdana"/>
          <w:i w:val="0"/>
          <w:iCs w:val="0"/>
          <w:sz w:val="22"/>
          <w:szCs w:val="22"/>
        </w:rPr>
        <w:t>. Other countries with commercial sea cucumber fisheries that are on the lower end of abundance</w:t>
      </w:r>
      <w:r w:rsidR="001960C8">
        <w:rPr>
          <w:rFonts w:ascii="Verdana" w:hAnsi="Verdana"/>
          <w:i w:val="0"/>
          <w:iCs w:val="0"/>
          <w:sz w:val="22"/>
          <w:szCs w:val="22"/>
        </w:rPr>
        <w:t>,</w:t>
      </w:r>
      <w:r w:rsidR="00AA662C" w:rsidRPr="0070190A">
        <w:rPr>
          <w:rFonts w:ascii="Verdana" w:hAnsi="Verdana"/>
          <w:i w:val="0"/>
          <w:iCs w:val="0"/>
          <w:sz w:val="22"/>
          <w:szCs w:val="22"/>
        </w:rPr>
        <w:t xml:space="preserve"> average around 20 individuals per ha (</w:t>
      </w:r>
      <w:r w:rsidR="00E74687">
        <w:rPr>
          <w:rFonts w:ascii="Verdana" w:hAnsi="Verdana"/>
          <w:i w:val="0"/>
          <w:iCs w:val="0"/>
          <w:sz w:val="22"/>
          <w:szCs w:val="22"/>
        </w:rPr>
        <w:t xml:space="preserve">De la </w:t>
      </w:r>
      <w:r w:rsidR="00AA662C" w:rsidRPr="0070190A">
        <w:rPr>
          <w:rFonts w:ascii="Verdana" w:hAnsi="Verdana"/>
          <w:i w:val="0"/>
          <w:iCs w:val="0"/>
          <w:sz w:val="22"/>
          <w:szCs w:val="22"/>
        </w:rPr>
        <w:t>Fuente-Betancourt</w:t>
      </w:r>
      <w:r w:rsidR="00FE7CBC">
        <w:rPr>
          <w:rFonts w:ascii="Verdana" w:hAnsi="Verdana"/>
          <w:i w:val="0"/>
          <w:iCs w:val="0"/>
          <w:sz w:val="22"/>
          <w:szCs w:val="22"/>
        </w:rPr>
        <w:t xml:space="preserve"> </w:t>
      </w:r>
      <w:r w:rsidR="00FE7CBC" w:rsidRPr="00FE7CBC">
        <w:rPr>
          <w:rFonts w:ascii="Verdana" w:hAnsi="Verdana"/>
          <w:sz w:val="22"/>
          <w:szCs w:val="22"/>
        </w:rPr>
        <w:t>et al</w:t>
      </w:r>
      <w:r w:rsidR="00FE7CBC">
        <w:rPr>
          <w:rFonts w:ascii="Verdana" w:hAnsi="Verdana"/>
          <w:i w:val="0"/>
          <w:iCs w:val="0"/>
          <w:sz w:val="22"/>
          <w:szCs w:val="22"/>
        </w:rPr>
        <w:t>.</w:t>
      </w:r>
      <w:r w:rsidR="00AA662C" w:rsidRPr="0070190A">
        <w:rPr>
          <w:rFonts w:ascii="Verdana" w:hAnsi="Verdana"/>
          <w:i w:val="0"/>
          <w:iCs w:val="0"/>
          <w:sz w:val="22"/>
          <w:szCs w:val="22"/>
        </w:rPr>
        <w:t xml:space="preserve">, </w:t>
      </w:r>
      <w:r w:rsidR="00AA662C" w:rsidRPr="0070190A">
        <w:rPr>
          <w:rFonts w:ascii="Verdana" w:hAnsi="Verdana"/>
          <w:i w:val="0"/>
          <w:iCs w:val="0"/>
          <w:sz w:val="22"/>
          <w:szCs w:val="22"/>
        </w:rPr>
        <w:lastRenderedPageBreak/>
        <w:t>2001).</w:t>
      </w:r>
      <w:r w:rsidR="00E56677">
        <w:rPr>
          <w:rFonts w:ascii="Verdana" w:hAnsi="Verdana"/>
          <w:i w:val="0"/>
          <w:iCs w:val="0"/>
          <w:sz w:val="22"/>
          <w:szCs w:val="22"/>
        </w:rPr>
        <w:t xml:space="preserve"> </w:t>
      </w:r>
      <w:r w:rsidR="00217344">
        <w:rPr>
          <w:rFonts w:ascii="Verdana" w:hAnsi="Verdana"/>
          <w:i w:val="0"/>
          <w:iCs w:val="0"/>
          <w:sz w:val="22"/>
          <w:szCs w:val="22"/>
        </w:rPr>
        <w:t xml:space="preserve">The overall mean abundance in for PHMR showed an increase from 2020 to 2021, but still remains around 20 per ha. </w:t>
      </w:r>
      <w:r w:rsidR="00E56677">
        <w:rPr>
          <w:rFonts w:ascii="Verdana" w:hAnsi="Verdana"/>
          <w:i w:val="0"/>
          <w:iCs w:val="0"/>
          <w:sz w:val="22"/>
          <w:szCs w:val="22"/>
        </w:rPr>
        <w:t xml:space="preserve">The 64% increase in abundance of sea cucumbers in </w:t>
      </w:r>
      <w:r w:rsidR="00217344">
        <w:rPr>
          <w:rFonts w:ascii="Verdana" w:hAnsi="Verdana"/>
          <w:i w:val="0"/>
          <w:iCs w:val="0"/>
          <w:sz w:val="22"/>
          <w:szCs w:val="22"/>
        </w:rPr>
        <w:t xml:space="preserve">the general use zone for </w:t>
      </w:r>
      <w:r w:rsidR="00E56677">
        <w:rPr>
          <w:rFonts w:ascii="Verdana" w:hAnsi="Verdana"/>
          <w:i w:val="0"/>
          <w:iCs w:val="0"/>
          <w:sz w:val="22"/>
          <w:szCs w:val="22"/>
        </w:rPr>
        <w:t>2021, must be monitored to see if this is a continuing trend into 2022 and beyond, as this suggests some promising signs of population increase</w:t>
      </w:r>
      <w:r w:rsidR="00217344">
        <w:rPr>
          <w:rFonts w:ascii="Verdana" w:hAnsi="Verdana"/>
          <w:i w:val="0"/>
          <w:iCs w:val="0"/>
          <w:sz w:val="22"/>
          <w:szCs w:val="22"/>
        </w:rPr>
        <w:t xml:space="preserve"> in that zone</w:t>
      </w:r>
      <w:r w:rsidR="00E56677" w:rsidRPr="008B3FC8">
        <w:rPr>
          <w:rFonts w:ascii="Verdana" w:hAnsi="Verdana"/>
          <w:i w:val="0"/>
          <w:iCs w:val="0"/>
          <w:sz w:val="22"/>
          <w:szCs w:val="22"/>
        </w:rPr>
        <w:t xml:space="preserve">. Meanwhile, although there is a majority of sexually mature individuals, the reproductive rate seems to be low as population numbers have not shown a major increase </w:t>
      </w:r>
      <w:r w:rsidR="0048006C" w:rsidRPr="008B3FC8">
        <w:rPr>
          <w:rFonts w:ascii="Verdana" w:hAnsi="Verdana"/>
          <w:i w:val="0"/>
          <w:iCs w:val="0"/>
          <w:sz w:val="22"/>
          <w:szCs w:val="22"/>
        </w:rPr>
        <w:t>over the four years</w:t>
      </w:r>
      <w:r w:rsidR="0068160A" w:rsidRPr="008B3FC8">
        <w:rPr>
          <w:rFonts w:ascii="Verdana" w:hAnsi="Verdana"/>
          <w:i w:val="0"/>
          <w:iCs w:val="0"/>
          <w:sz w:val="22"/>
          <w:szCs w:val="22"/>
        </w:rPr>
        <w:t xml:space="preserve">, even </w:t>
      </w:r>
      <w:r w:rsidR="0048006C" w:rsidRPr="008B3FC8">
        <w:rPr>
          <w:rFonts w:ascii="Verdana" w:hAnsi="Verdana"/>
          <w:i w:val="0"/>
          <w:iCs w:val="0"/>
          <w:sz w:val="22"/>
          <w:szCs w:val="22"/>
        </w:rPr>
        <w:t>with the absence of fishing</w:t>
      </w:r>
      <w:r w:rsidR="00E56677" w:rsidRPr="008B3FC8">
        <w:rPr>
          <w:rFonts w:ascii="Verdana" w:hAnsi="Verdana"/>
          <w:i w:val="0"/>
          <w:iCs w:val="0"/>
          <w:sz w:val="22"/>
          <w:szCs w:val="22"/>
        </w:rPr>
        <w:t>.</w:t>
      </w:r>
      <w:r w:rsidR="007F1498">
        <w:rPr>
          <w:rFonts w:ascii="Verdana" w:hAnsi="Verdana"/>
          <w:i w:val="0"/>
          <w:iCs w:val="0"/>
          <w:sz w:val="22"/>
          <w:szCs w:val="22"/>
        </w:rPr>
        <w:t xml:space="preserve"> Studies have shown that successful reproduction in sea cucumbers require certain minimum densities (Anderson et al., 2011).</w:t>
      </w:r>
      <w:r w:rsidR="008D3783">
        <w:rPr>
          <w:rFonts w:ascii="Verdana" w:hAnsi="Verdana"/>
          <w:i w:val="0"/>
          <w:iCs w:val="0"/>
          <w:sz w:val="22"/>
          <w:szCs w:val="22"/>
        </w:rPr>
        <w:t xml:space="preserve"> Further investigation into the minimum required density for successful reproduction of </w:t>
      </w:r>
      <w:r w:rsidR="008D3783" w:rsidRPr="008D3783">
        <w:rPr>
          <w:rFonts w:ascii="Verdana" w:hAnsi="Verdana"/>
          <w:sz w:val="22"/>
          <w:szCs w:val="22"/>
        </w:rPr>
        <w:t xml:space="preserve">H. </w:t>
      </w:r>
      <w:proofErr w:type="spellStart"/>
      <w:r w:rsidR="008D3783" w:rsidRPr="008D3783">
        <w:rPr>
          <w:rFonts w:ascii="Verdana" w:hAnsi="Verdana"/>
          <w:sz w:val="22"/>
          <w:szCs w:val="22"/>
        </w:rPr>
        <w:t>mexicana</w:t>
      </w:r>
      <w:proofErr w:type="spellEnd"/>
      <w:r w:rsidR="008D3783">
        <w:rPr>
          <w:rFonts w:ascii="Verdana" w:hAnsi="Verdana"/>
          <w:i w:val="0"/>
          <w:iCs w:val="0"/>
          <w:sz w:val="22"/>
          <w:szCs w:val="22"/>
        </w:rPr>
        <w:t xml:space="preserve"> is necessary.</w:t>
      </w:r>
    </w:p>
    <w:p w14:paraId="56B5018E" w14:textId="49FA2F16" w:rsidR="006A3A7F" w:rsidRPr="0070190A" w:rsidRDefault="0031689F" w:rsidP="0070190A">
      <w:pPr>
        <w:spacing w:line="276" w:lineRule="auto"/>
        <w:jc w:val="both"/>
        <w:rPr>
          <w:rFonts w:ascii="Verdana" w:hAnsi="Verdana"/>
          <w:i w:val="0"/>
          <w:iCs w:val="0"/>
          <w:sz w:val="22"/>
          <w:szCs w:val="22"/>
        </w:rPr>
      </w:pPr>
      <w:r w:rsidRPr="0070190A">
        <w:rPr>
          <w:rFonts w:ascii="Verdana" w:hAnsi="Verdana"/>
          <w:i w:val="0"/>
          <w:iCs w:val="0"/>
          <w:sz w:val="22"/>
          <w:szCs w:val="22"/>
        </w:rPr>
        <w:t>An important note in the management of the donkey dung sea cucumber fishery,</w:t>
      </w:r>
      <w:r w:rsidR="00EB32C7">
        <w:rPr>
          <w:rFonts w:ascii="Verdana" w:hAnsi="Verdana"/>
          <w:i w:val="0"/>
          <w:iCs w:val="0"/>
          <w:sz w:val="22"/>
          <w:szCs w:val="22"/>
        </w:rPr>
        <w:t xml:space="preserve"> is</w:t>
      </w:r>
      <w:r w:rsidRPr="0070190A">
        <w:rPr>
          <w:rFonts w:ascii="Verdana" w:hAnsi="Verdana"/>
          <w:i w:val="0"/>
          <w:iCs w:val="0"/>
          <w:sz w:val="22"/>
          <w:szCs w:val="22"/>
        </w:rPr>
        <w:t xml:space="preserve"> the observance of the closed season to ensure that reproduction can successfully take place to replenish the stocks </w:t>
      </w:r>
      <w:r w:rsidR="001960C8">
        <w:rPr>
          <w:rFonts w:ascii="Verdana" w:hAnsi="Verdana"/>
          <w:i w:val="0"/>
          <w:iCs w:val="0"/>
          <w:sz w:val="22"/>
          <w:szCs w:val="22"/>
        </w:rPr>
        <w:t>and</w:t>
      </w:r>
      <w:r w:rsidRPr="0070190A">
        <w:rPr>
          <w:rFonts w:ascii="Verdana" w:hAnsi="Verdana"/>
          <w:i w:val="0"/>
          <w:iCs w:val="0"/>
          <w:sz w:val="22"/>
          <w:szCs w:val="22"/>
        </w:rPr>
        <w:t xml:space="preserve"> avoid the need for another moratorium. With this as a given, the current open season is scheduled directly during the peak reproductive period for </w:t>
      </w:r>
      <w:r w:rsidRPr="0070190A">
        <w:rPr>
          <w:rFonts w:ascii="Verdana" w:hAnsi="Verdana"/>
          <w:sz w:val="22"/>
          <w:szCs w:val="22"/>
        </w:rPr>
        <w:t xml:space="preserve">H. </w:t>
      </w:r>
      <w:proofErr w:type="spellStart"/>
      <w:r w:rsidR="00FD5B36">
        <w:rPr>
          <w:rFonts w:ascii="Verdana" w:hAnsi="Verdana"/>
          <w:sz w:val="22"/>
          <w:szCs w:val="22"/>
        </w:rPr>
        <w:t>m</w:t>
      </w:r>
      <w:r w:rsidRPr="0070190A">
        <w:rPr>
          <w:rFonts w:ascii="Verdana" w:hAnsi="Verdana"/>
          <w:sz w:val="22"/>
          <w:szCs w:val="22"/>
        </w:rPr>
        <w:t>exicana</w:t>
      </w:r>
      <w:proofErr w:type="spellEnd"/>
      <w:r w:rsidRPr="0070190A">
        <w:rPr>
          <w:rFonts w:ascii="Verdana" w:hAnsi="Verdana"/>
          <w:sz w:val="22"/>
          <w:szCs w:val="22"/>
        </w:rPr>
        <w:t xml:space="preserve"> </w:t>
      </w:r>
      <w:r w:rsidRPr="0070190A">
        <w:rPr>
          <w:rFonts w:ascii="Verdana" w:hAnsi="Verdana"/>
          <w:i w:val="0"/>
          <w:iCs w:val="0"/>
          <w:sz w:val="22"/>
          <w:szCs w:val="22"/>
        </w:rPr>
        <w:t xml:space="preserve">in Belize (Rogers </w:t>
      </w:r>
      <w:r w:rsidRPr="00E74687">
        <w:rPr>
          <w:rFonts w:ascii="Verdana" w:hAnsi="Verdana"/>
          <w:sz w:val="22"/>
          <w:szCs w:val="22"/>
        </w:rPr>
        <w:t>et al</w:t>
      </w:r>
      <w:r w:rsidRPr="0070190A">
        <w:rPr>
          <w:rFonts w:ascii="Verdana" w:hAnsi="Verdana"/>
          <w:i w:val="0"/>
          <w:iCs w:val="0"/>
          <w:sz w:val="22"/>
          <w:szCs w:val="22"/>
        </w:rPr>
        <w:t xml:space="preserve">., 2018). Rogers </w:t>
      </w:r>
      <w:r w:rsidRPr="001960C8">
        <w:rPr>
          <w:rFonts w:ascii="Verdana" w:hAnsi="Verdana"/>
          <w:sz w:val="22"/>
          <w:szCs w:val="22"/>
        </w:rPr>
        <w:t>et al</w:t>
      </w:r>
      <w:r w:rsidRPr="0070190A">
        <w:rPr>
          <w:rFonts w:ascii="Verdana" w:hAnsi="Verdana"/>
          <w:i w:val="0"/>
          <w:iCs w:val="0"/>
          <w:sz w:val="22"/>
          <w:szCs w:val="22"/>
        </w:rPr>
        <w:t>. 2018 showed that the peak spawning period is between March and July, annually. This is further supported by a</w:t>
      </w:r>
      <w:r w:rsidR="00EB32C7">
        <w:rPr>
          <w:rFonts w:ascii="Verdana" w:hAnsi="Verdana"/>
          <w:i w:val="0"/>
          <w:iCs w:val="0"/>
          <w:sz w:val="22"/>
          <w:szCs w:val="22"/>
        </w:rPr>
        <w:t>n</w:t>
      </w:r>
      <w:r w:rsidRPr="0070190A">
        <w:rPr>
          <w:rFonts w:ascii="Verdana" w:hAnsi="Verdana"/>
          <w:i w:val="0"/>
          <w:iCs w:val="0"/>
          <w:sz w:val="22"/>
          <w:szCs w:val="22"/>
        </w:rPr>
        <w:t xml:space="preserve"> assessment of gonadal index that shows gonad development peaking during March to July.</w:t>
      </w:r>
      <w:r w:rsidR="00AC4C85" w:rsidRPr="0070190A">
        <w:rPr>
          <w:rFonts w:ascii="Verdana" w:hAnsi="Verdana"/>
          <w:i w:val="0"/>
          <w:iCs w:val="0"/>
          <w:sz w:val="22"/>
          <w:szCs w:val="22"/>
        </w:rPr>
        <w:t xml:space="preserve"> The fishing season was opened </w:t>
      </w:r>
      <w:r w:rsidR="00EB32C7">
        <w:rPr>
          <w:rFonts w:ascii="Verdana" w:hAnsi="Verdana"/>
          <w:i w:val="0"/>
          <w:iCs w:val="0"/>
          <w:sz w:val="22"/>
          <w:szCs w:val="22"/>
        </w:rPr>
        <w:t xml:space="preserve">in May to June in 2020, and again in </w:t>
      </w:r>
      <w:r w:rsidR="00AC4C85" w:rsidRPr="0070190A">
        <w:rPr>
          <w:rFonts w:ascii="Verdana" w:hAnsi="Verdana"/>
          <w:i w:val="0"/>
          <w:iCs w:val="0"/>
          <w:sz w:val="22"/>
          <w:szCs w:val="22"/>
        </w:rPr>
        <w:t>March 15</w:t>
      </w:r>
      <w:r w:rsidR="00AC4C85" w:rsidRPr="0070190A">
        <w:rPr>
          <w:rFonts w:ascii="Verdana" w:hAnsi="Verdana"/>
          <w:i w:val="0"/>
          <w:iCs w:val="0"/>
          <w:sz w:val="22"/>
          <w:szCs w:val="22"/>
          <w:vertAlign w:val="superscript"/>
        </w:rPr>
        <w:t>th</w:t>
      </w:r>
      <w:r w:rsidR="00AC4C85" w:rsidRPr="0070190A">
        <w:rPr>
          <w:rFonts w:ascii="Verdana" w:hAnsi="Verdana"/>
          <w:i w:val="0"/>
          <w:iCs w:val="0"/>
          <w:sz w:val="22"/>
          <w:szCs w:val="22"/>
        </w:rPr>
        <w:t xml:space="preserve"> and closed June 30</w:t>
      </w:r>
      <w:r w:rsidR="00AC4C85" w:rsidRPr="0070190A">
        <w:rPr>
          <w:rFonts w:ascii="Verdana" w:hAnsi="Verdana"/>
          <w:i w:val="0"/>
          <w:iCs w:val="0"/>
          <w:sz w:val="22"/>
          <w:szCs w:val="22"/>
          <w:vertAlign w:val="superscript"/>
        </w:rPr>
        <w:t>th</w:t>
      </w:r>
      <w:r w:rsidR="00AC4C85" w:rsidRPr="0070190A">
        <w:rPr>
          <w:rFonts w:ascii="Verdana" w:hAnsi="Verdana"/>
          <w:i w:val="0"/>
          <w:iCs w:val="0"/>
          <w:sz w:val="22"/>
          <w:szCs w:val="22"/>
        </w:rPr>
        <w:t>, 2021. This coincid</w:t>
      </w:r>
      <w:r w:rsidR="0050077D">
        <w:rPr>
          <w:rFonts w:ascii="Verdana" w:hAnsi="Verdana"/>
          <w:i w:val="0"/>
          <w:iCs w:val="0"/>
          <w:sz w:val="22"/>
          <w:szCs w:val="22"/>
        </w:rPr>
        <w:t>es</w:t>
      </w:r>
      <w:r w:rsidR="00AC4C85" w:rsidRPr="0070190A">
        <w:rPr>
          <w:rFonts w:ascii="Verdana" w:hAnsi="Verdana"/>
          <w:i w:val="0"/>
          <w:iCs w:val="0"/>
          <w:sz w:val="22"/>
          <w:szCs w:val="22"/>
        </w:rPr>
        <w:t xml:space="preserve"> with the peak reproductive period which puts the sea cucumbers at higher risk of being harvested before they have had a chance to reproduce and replenish the population. This management approach requires further assessment to consider a more effective and sustainable fishing season, that is outside of the peak reproductive period</w:t>
      </w:r>
      <w:r w:rsidR="0050077D">
        <w:rPr>
          <w:rFonts w:ascii="Verdana" w:hAnsi="Verdana"/>
          <w:i w:val="0"/>
          <w:iCs w:val="0"/>
          <w:sz w:val="22"/>
          <w:szCs w:val="22"/>
        </w:rPr>
        <w:t>, if this fishery is to avoid overexploitation once again</w:t>
      </w:r>
      <w:r w:rsidR="00AC4C85" w:rsidRPr="0070190A">
        <w:rPr>
          <w:rFonts w:ascii="Verdana" w:hAnsi="Verdana"/>
          <w:i w:val="0"/>
          <w:iCs w:val="0"/>
          <w:sz w:val="22"/>
          <w:szCs w:val="22"/>
        </w:rPr>
        <w:t>.</w:t>
      </w:r>
      <w:r w:rsidR="0050077D">
        <w:rPr>
          <w:rFonts w:ascii="Verdana" w:hAnsi="Verdana"/>
          <w:i w:val="0"/>
          <w:iCs w:val="0"/>
          <w:sz w:val="22"/>
          <w:szCs w:val="22"/>
        </w:rPr>
        <w:t xml:space="preserve"> </w:t>
      </w:r>
    </w:p>
    <w:p w14:paraId="168BBCC4" w14:textId="72DDED97" w:rsidR="006A3A7F" w:rsidRPr="0070190A" w:rsidRDefault="006A3A7F" w:rsidP="0070190A">
      <w:pPr>
        <w:spacing w:line="276" w:lineRule="auto"/>
        <w:jc w:val="both"/>
        <w:rPr>
          <w:rFonts w:ascii="Verdana" w:hAnsi="Verdana"/>
          <w:i w:val="0"/>
          <w:iCs w:val="0"/>
          <w:sz w:val="22"/>
          <w:szCs w:val="22"/>
        </w:rPr>
      </w:pPr>
      <w:r w:rsidRPr="0070190A">
        <w:rPr>
          <w:rFonts w:ascii="Verdana" w:hAnsi="Verdana"/>
          <w:i w:val="0"/>
          <w:iCs w:val="0"/>
          <w:sz w:val="22"/>
          <w:szCs w:val="22"/>
        </w:rPr>
        <w:t xml:space="preserve">Besides this, population assessments must inform the quota for the sea cucumber fishery. In particular, it </w:t>
      </w:r>
      <w:r w:rsidR="009009E9">
        <w:rPr>
          <w:rFonts w:ascii="Verdana" w:hAnsi="Verdana"/>
          <w:i w:val="0"/>
          <w:iCs w:val="0"/>
          <w:sz w:val="22"/>
          <w:szCs w:val="22"/>
        </w:rPr>
        <w:t>is</w:t>
      </w:r>
      <w:r w:rsidRPr="0070190A">
        <w:rPr>
          <w:rFonts w:ascii="Verdana" w:hAnsi="Verdana"/>
          <w:i w:val="0"/>
          <w:iCs w:val="0"/>
          <w:sz w:val="22"/>
          <w:szCs w:val="22"/>
        </w:rPr>
        <w:t xml:space="preserve"> recommended that an area quota for the PHMR be </w:t>
      </w:r>
      <w:r w:rsidR="009009E9">
        <w:rPr>
          <w:rFonts w:ascii="Verdana" w:hAnsi="Verdana"/>
          <w:i w:val="0"/>
          <w:iCs w:val="0"/>
          <w:sz w:val="22"/>
          <w:szCs w:val="22"/>
        </w:rPr>
        <w:t>implemented</w:t>
      </w:r>
      <w:r w:rsidRPr="0070190A">
        <w:rPr>
          <w:rFonts w:ascii="Verdana" w:hAnsi="Verdana"/>
          <w:i w:val="0"/>
          <w:iCs w:val="0"/>
          <w:sz w:val="22"/>
          <w:szCs w:val="22"/>
        </w:rPr>
        <w:t xml:space="preserve">, given that each marine reserve varies </w:t>
      </w:r>
      <w:r w:rsidR="002534C5" w:rsidRPr="0070190A">
        <w:rPr>
          <w:rFonts w:ascii="Verdana" w:hAnsi="Verdana"/>
          <w:i w:val="0"/>
          <w:iCs w:val="0"/>
          <w:sz w:val="22"/>
          <w:szCs w:val="22"/>
        </w:rPr>
        <w:t xml:space="preserve">locally </w:t>
      </w:r>
      <w:r w:rsidRPr="0070190A">
        <w:rPr>
          <w:rFonts w:ascii="Verdana" w:hAnsi="Verdana"/>
          <w:i w:val="0"/>
          <w:iCs w:val="0"/>
          <w:sz w:val="22"/>
          <w:szCs w:val="22"/>
        </w:rPr>
        <w:t xml:space="preserve">in the density of </w:t>
      </w:r>
      <w:r w:rsidRPr="0070190A">
        <w:rPr>
          <w:rFonts w:ascii="Verdana" w:hAnsi="Verdana"/>
          <w:sz w:val="22"/>
          <w:szCs w:val="22"/>
        </w:rPr>
        <w:t xml:space="preserve">H. </w:t>
      </w:r>
      <w:proofErr w:type="spellStart"/>
      <w:r w:rsidRPr="0070190A">
        <w:rPr>
          <w:rFonts w:ascii="Verdana" w:hAnsi="Verdana"/>
          <w:sz w:val="22"/>
          <w:szCs w:val="22"/>
        </w:rPr>
        <w:t>mexicana</w:t>
      </w:r>
      <w:proofErr w:type="spellEnd"/>
      <w:r w:rsidRPr="0070190A">
        <w:rPr>
          <w:rFonts w:ascii="Verdana" w:hAnsi="Verdana"/>
          <w:sz w:val="22"/>
          <w:szCs w:val="22"/>
        </w:rPr>
        <w:t xml:space="preserve"> </w:t>
      </w:r>
      <w:r w:rsidR="009009E9">
        <w:rPr>
          <w:rFonts w:ascii="Verdana" w:hAnsi="Verdana"/>
          <w:i w:val="0"/>
          <w:iCs w:val="0"/>
          <w:sz w:val="22"/>
          <w:szCs w:val="22"/>
        </w:rPr>
        <w:t>found in</w:t>
      </w:r>
      <w:r w:rsidR="002534C5" w:rsidRPr="0070190A">
        <w:rPr>
          <w:rFonts w:ascii="Verdana" w:hAnsi="Verdana"/>
          <w:i w:val="0"/>
          <w:iCs w:val="0"/>
          <w:sz w:val="22"/>
          <w:szCs w:val="22"/>
        </w:rPr>
        <w:t xml:space="preserve"> each fishing area. Consideration </w:t>
      </w:r>
      <w:r w:rsidR="009009E9">
        <w:rPr>
          <w:rFonts w:ascii="Verdana" w:hAnsi="Verdana"/>
          <w:i w:val="0"/>
          <w:iCs w:val="0"/>
          <w:sz w:val="22"/>
          <w:szCs w:val="22"/>
        </w:rPr>
        <w:t xml:space="preserve">in selecting </w:t>
      </w:r>
      <w:r w:rsidR="002534C5" w:rsidRPr="0070190A">
        <w:rPr>
          <w:rFonts w:ascii="Verdana" w:hAnsi="Verdana"/>
          <w:i w:val="0"/>
          <w:iCs w:val="0"/>
          <w:sz w:val="22"/>
          <w:szCs w:val="22"/>
        </w:rPr>
        <w:t>sites that are representative or suitable for sea cucumbers must be made to ensure the best level of monitoring occurs, which will most accurately reflect the status of the stocks within the PHMR.</w:t>
      </w:r>
      <w:r w:rsidR="00BB4CAD">
        <w:rPr>
          <w:rFonts w:ascii="Verdana" w:hAnsi="Verdana"/>
          <w:i w:val="0"/>
          <w:iCs w:val="0"/>
          <w:sz w:val="22"/>
          <w:szCs w:val="22"/>
        </w:rPr>
        <w:t xml:space="preserve"> A crucial component of monitoring stocks is the collection and incorporation of catch data or landings into monitoring. There is currently no effective system of monitoring the catch of sea cucumbers within the marine reserve or the landings </w:t>
      </w:r>
      <w:r w:rsidR="005C7FEB">
        <w:rPr>
          <w:rFonts w:ascii="Verdana" w:hAnsi="Verdana"/>
          <w:i w:val="0"/>
          <w:iCs w:val="0"/>
          <w:sz w:val="22"/>
          <w:szCs w:val="22"/>
        </w:rPr>
        <w:t>originating</w:t>
      </w:r>
      <w:r w:rsidR="00BB4CAD">
        <w:rPr>
          <w:rFonts w:ascii="Verdana" w:hAnsi="Verdana"/>
          <w:i w:val="0"/>
          <w:iCs w:val="0"/>
          <w:sz w:val="22"/>
          <w:szCs w:val="22"/>
        </w:rPr>
        <w:t xml:space="preserve"> from the PHMR, that are delivered to cooperatives or fishing processing sites for export.</w:t>
      </w:r>
      <w:r w:rsidR="005C7FEB">
        <w:rPr>
          <w:rFonts w:ascii="Verdana" w:hAnsi="Verdana"/>
          <w:i w:val="0"/>
          <w:iCs w:val="0"/>
          <w:sz w:val="22"/>
          <w:szCs w:val="22"/>
        </w:rPr>
        <w:t xml:space="preserve"> Available data on these landings are important in helping to establish annual productivity of the fishery and trends in population size and structure. The collection of this type of data needs to be established for 2022 and going forward.</w:t>
      </w:r>
    </w:p>
    <w:p w14:paraId="2CB511C9" w14:textId="3E2428C8" w:rsidR="00226EB9" w:rsidRPr="0031288E" w:rsidRDefault="00226EB9" w:rsidP="00226EB9">
      <w:pPr>
        <w:spacing w:line="276" w:lineRule="auto"/>
        <w:jc w:val="both"/>
        <w:rPr>
          <w:rFonts w:ascii="Verdana" w:hAnsi="Verdana" w:cs="Bangla MN"/>
          <w:b/>
          <w:bCs/>
          <w:sz w:val="28"/>
          <w:szCs w:val="28"/>
        </w:rPr>
      </w:pPr>
    </w:p>
    <w:p w14:paraId="3001BCE5" w14:textId="77777777" w:rsidR="00226EB9" w:rsidRPr="0031288E" w:rsidRDefault="00226EB9" w:rsidP="00226EB9">
      <w:pPr>
        <w:spacing w:line="276" w:lineRule="auto"/>
        <w:jc w:val="both"/>
        <w:rPr>
          <w:rFonts w:ascii="Verdana" w:hAnsi="Verdana" w:cs="Bangla MN"/>
          <w:b/>
          <w:bCs/>
          <w:sz w:val="28"/>
          <w:szCs w:val="28"/>
        </w:rPr>
        <w:sectPr w:rsidR="00226EB9" w:rsidRPr="0031288E" w:rsidSect="00E62735">
          <w:type w:val="continuous"/>
          <w:pgSz w:w="12240" w:h="15840"/>
          <w:pgMar w:top="1440" w:right="1440" w:bottom="1440" w:left="1440" w:header="720" w:footer="720" w:gutter="0"/>
          <w:cols w:space="720"/>
          <w:docGrid w:linePitch="360"/>
        </w:sectPr>
      </w:pPr>
    </w:p>
    <w:p w14:paraId="0C3D5DCC" w14:textId="2C6CE5DE" w:rsidR="00226EB9" w:rsidRPr="0070190A" w:rsidRDefault="00226EB9" w:rsidP="0070190A">
      <w:pPr>
        <w:rPr>
          <w:rFonts w:ascii="Verdana" w:hAnsi="Verdana" w:cs="Bangla MN"/>
          <w:b/>
          <w:bCs/>
          <w:sz w:val="28"/>
          <w:szCs w:val="28"/>
        </w:rPr>
      </w:pPr>
      <w:r w:rsidRPr="0070190A">
        <w:rPr>
          <w:rFonts w:ascii="Verdana" w:hAnsi="Verdana" w:cs="Bangla MN"/>
          <w:b/>
          <w:bCs/>
          <w:color w:val="1C6194" w:themeColor="accent2" w:themeShade="BF"/>
          <w:sz w:val="28"/>
          <w:szCs w:val="28"/>
        </w:rPr>
        <w:lastRenderedPageBreak/>
        <w:t>References</w:t>
      </w:r>
    </w:p>
    <w:p w14:paraId="4DB85FBA" w14:textId="77777777" w:rsidR="00226EB9" w:rsidRPr="0031288E" w:rsidRDefault="00226EB9" w:rsidP="00591983">
      <w:pPr>
        <w:spacing w:line="276" w:lineRule="auto"/>
        <w:jc w:val="both"/>
        <w:rPr>
          <w:rFonts w:ascii="Verdana" w:hAnsi="Verdana"/>
        </w:rPr>
        <w:sectPr w:rsidR="00226EB9" w:rsidRPr="0031288E" w:rsidSect="00E62735">
          <w:type w:val="continuous"/>
          <w:pgSz w:w="12240" w:h="15840"/>
          <w:pgMar w:top="1440" w:right="1440" w:bottom="1440" w:left="1440" w:header="720" w:footer="720" w:gutter="0"/>
          <w:cols w:space="720"/>
          <w:docGrid w:linePitch="360"/>
        </w:sectPr>
      </w:pPr>
    </w:p>
    <w:p w14:paraId="11E95A4D" w14:textId="7D24AC22" w:rsidR="007505C7" w:rsidRPr="00CE08F0" w:rsidRDefault="00207930" w:rsidP="00CE08F0">
      <w:pPr>
        <w:widowControl w:val="0"/>
        <w:autoSpaceDE w:val="0"/>
        <w:autoSpaceDN w:val="0"/>
        <w:adjustRightInd w:val="0"/>
        <w:spacing w:line="276" w:lineRule="auto"/>
        <w:jc w:val="both"/>
        <w:rPr>
          <w:rFonts w:ascii="Verdana" w:hAnsi="Verdana"/>
          <w:i w:val="0"/>
          <w:iCs w:val="0"/>
          <w:sz w:val="22"/>
          <w:szCs w:val="22"/>
        </w:rPr>
      </w:pPr>
      <w:r w:rsidRPr="0070190A">
        <w:rPr>
          <w:rFonts w:ascii="Verdana" w:hAnsi="Verdana"/>
          <w:i w:val="0"/>
          <w:iCs w:val="0"/>
          <w:sz w:val="22"/>
          <w:szCs w:val="22"/>
        </w:rPr>
        <w:t xml:space="preserve">Amesbury, SS. &amp; Kerr, AM (1996).  Data collection methods for </w:t>
      </w:r>
      <w:proofErr w:type="spellStart"/>
      <w:r w:rsidRPr="0070190A">
        <w:rPr>
          <w:rFonts w:ascii="Verdana" w:hAnsi="Verdana"/>
          <w:i w:val="0"/>
          <w:iCs w:val="0"/>
          <w:sz w:val="22"/>
          <w:szCs w:val="22"/>
        </w:rPr>
        <w:t>beche</w:t>
      </w:r>
      <w:proofErr w:type="spellEnd"/>
      <w:r w:rsidRPr="0070190A">
        <w:rPr>
          <w:rFonts w:ascii="Verdana" w:hAnsi="Verdana"/>
          <w:i w:val="0"/>
          <w:iCs w:val="0"/>
          <w:sz w:val="22"/>
          <w:szCs w:val="22"/>
        </w:rPr>
        <w:t>-de-</w:t>
      </w:r>
      <w:proofErr w:type="spellStart"/>
      <w:r w:rsidRPr="0070190A">
        <w:rPr>
          <w:rFonts w:ascii="Verdana" w:hAnsi="Verdana"/>
          <w:i w:val="0"/>
          <w:iCs w:val="0"/>
          <w:sz w:val="22"/>
          <w:szCs w:val="22"/>
        </w:rPr>
        <w:t>mer</w:t>
      </w:r>
      <w:proofErr w:type="spellEnd"/>
      <w:r w:rsidRPr="0070190A">
        <w:rPr>
          <w:rFonts w:ascii="Verdana" w:hAnsi="Verdana"/>
          <w:i w:val="0"/>
          <w:iCs w:val="0"/>
          <w:sz w:val="22"/>
          <w:szCs w:val="22"/>
        </w:rPr>
        <w:t xml:space="preserve"> resource management in Micronesia.  Pages 53–59 in R. Richmond, ed. Suggestions for the Management of Sea Cucumber Resources in Micronesia, Results of the Workshop, A regional management plan for a sustainable sea cucumber fishery for </w:t>
      </w:r>
      <w:r w:rsidRPr="007505C7">
        <w:rPr>
          <w:rFonts w:ascii="Verdana" w:hAnsi="Verdana"/>
          <w:i w:val="0"/>
          <w:iCs w:val="0"/>
          <w:sz w:val="22"/>
          <w:szCs w:val="22"/>
        </w:rPr>
        <w:t>Micronesia. University of Guam Lab. Technical Report 101</w:t>
      </w:r>
      <w:r w:rsidR="0070190A" w:rsidRPr="007505C7">
        <w:rPr>
          <w:rFonts w:ascii="Verdana" w:hAnsi="Verdana"/>
          <w:i w:val="0"/>
          <w:iCs w:val="0"/>
          <w:sz w:val="22"/>
          <w:szCs w:val="22"/>
        </w:rPr>
        <w:t>.</w:t>
      </w:r>
    </w:p>
    <w:p w14:paraId="14FC1421" w14:textId="37AD2617" w:rsidR="008D3783" w:rsidRDefault="008D3783" w:rsidP="00FD5B36">
      <w:pPr>
        <w:spacing w:after="0" w:line="276" w:lineRule="auto"/>
        <w:jc w:val="both"/>
        <w:rPr>
          <w:rFonts w:ascii="Verdana" w:eastAsia="Times New Roman" w:hAnsi="Verdana" w:cs="Times New Roman"/>
          <w:i w:val="0"/>
          <w:iCs w:val="0"/>
          <w:sz w:val="22"/>
          <w:szCs w:val="22"/>
        </w:rPr>
      </w:pPr>
    </w:p>
    <w:p w14:paraId="089B0FA2" w14:textId="170DB2F9" w:rsidR="008D3783" w:rsidRPr="007505C7" w:rsidRDefault="008D3783" w:rsidP="00FD5B36">
      <w:pPr>
        <w:spacing w:after="0" w:line="276" w:lineRule="auto"/>
        <w:jc w:val="both"/>
        <w:rPr>
          <w:rFonts w:ascii="Verdana" w:eastAsia="Times New Roman" w:hAnsi="Verdana" w:cs="Times New Roman"/>
          <w:i w:val="0"/>
          <w:iCs w:val="0"/>
          <w:sz w:val="22"/>
          <w:szCs w:val="22"/>
        </w:rPr>
      </w:pPr>
      <w:r>
        <w:rPr>
          <w:rFonts w:ascii="Verdana" w:eastAsia="Times New Roman" w:hAnsi="Verdana" w:cs="Times New Roman"/>
          <w:i w:val="0"/>
          <w:iCs w:val="0"/>
          <w:sz w:val="22"/>
          <w:szCs w:val="22"/>
        </w:rPr>
        <w:t xml:space="preserve">Anderson, S.C., </w:t>
      </w:r>
      <w:proofErr w:type="spellStart"/>
      <w:r>
        <w:rPr>
          <w:rFonts w:ascii="Verdana" w:eastAsia="Times New Roman" w:hAnsi="Verdana" w:cs="Times New Roman"/>
          <w:i w:val="0"/>
          <w:iCs w:val="0"/>
          <w:sz w:val="22"/>
          <w:szCs w:val="22"/>
        </w:rPr>
        <w:t>Flemming</w:t>
      </w:r>
      <w:proofErr w:type="spellEnd"/>
      <w:r>
        <w:rPr>
          <w:rFonts w:ascii="Verdana" w:eastAsia="Times New Roman" w:hAnsi="Verdana" w:cs="Times New Roman"/>
          <w:i w:val="0"/>
          <w:iCs w:val="0"/>
          <w:sz w:val="22"/>
          <w:szCs w:val="22"/>
        </w:rPr>
        <w:t xml:space="preserve">, J.M., Watson, R., </w:t>
      </w:r>
      <w:proofErr w:type="spellStart"/>
      <w:r>
        <w:rPr>
          <w:rFonts w:ascii="Verdana" w:eastAsia="Times New Roman" w:hAnsi="Verdana" w:cs="Times New Roman"/>
          <w:i w:val="0"/>
          <w:iCs w:val="0"/>
          <w:sz w:val="22"/>
          <w:szCs w:val="22"/>
        </w:rPr>
        <w:t>Lotze</w:t>
      </w:r>
      <w:proofErr w:type="spellEnd"/>
      <w:r>
        <w:rPr>
          <w:rFonts w:ascii="Verdana" w:eastAsia="Times New Roman" w:hAnsi="Verdana" w:cs="Times New Roman"/>
          <w:i w:val="0"/>
          <w:iCs w:val="0"/>
          <w:sz w:val="22"/>
          <w:szCs w:val="22"/>
        </w:rPr>
        <w:t xml:space="preserve">, H.K. (2011). Serial exploitation of global sea cucumber fisheries. </w:t>
      </w:r>
      <w:r w:rsidRPr="008D3783">
        <w:rPr>
          <w:rFonts w:ascii="Verdana" w:eastAsia="Times New Roman" w:hAnsi="Verdana" w:cs="Times New Roman"/>
          <w:sz w:val="22"/>
          <w:szCs w:val="22"/>
        </w:rPr>
        <w:t>Fish and Fisheries</w:t>
      </w:r>
      <w:r>
        <w:rPr>
          <w:rFonts w:ascii="Verdana" w:eastAsia="Times New Roman" w:hAnsi="Verdana" w:cs="Times New Roman"/>
          <w:i w:val="0"/>
          <w:iCs w:val="0"/>
          <w:sz w:val="22"/>
          <w:szCs w:val="22"/>
        </w:rPr>
        <w:t>, 12 (3): 317-339.</w:t>
      </w:r>
    </w:p>
    <w:p w14:paraId="21A0CFA3" w14:textId="77777777" w:rsidR="008D3783" w:rsidRDefault="008D3783" w:rsidP="00FD5B36">
      <w:pPr>
        <w:autoSpaceDE w:val="0"/>
        <w:autoSpaceDN w:val="0"/>
        <w:adjustRightInd w:val="0"/>
        <w:spacing w:after="0" w:line="240" w:lineRule="auto"/>
        <w:jc w:val="both"/>
        <w:rPr>
          <w:rFonts w:ascii="Verdana" w:hAnsi="Verdana" w:cs="Times New Roman"/>
          <w:i w:val="0"/>
          <w:iCs w:val="0"/>
          <w:sz w:val="22"/>
          <w:szCs w:val="22"/>
        </w:rPr>
      </w:pPr>
    </w:p>
    <w:p w14:paraId="388DC4CE" w14:textId="4DD93A5D" w:rsidR="007505C7" w:rsidRPr="007505C7" w:rsidRDefault="007505C7" w:rsidP="00FD5B36">
      <w:pPr>
        <w:autoSpaceDE w:val="0"/>
        <w:autoSpaceDN w:val="0"/>
        <w:adjustRightInd w:val="0"/>
        <w:spacing w:after="0" w:line="240" w:lineRule="auto"/>
        <w:jc w:val="both"/>
        <w:rPr>
          <w:rFonts w:ascii="Verdana" w:hAnsi="Verdana" w:cs="Times New Roman"/>
          <w:i w:val="0"/>
          <w:iCs w:val="0"/>
          <w:sz w:val="22"/>
          <w:szCs w:val="22"/>
        </w:rPr>
      </w:pPr>
      <w:r>
        <w:rPr>
          <w:rFonts w:ascii="Verdana" w:hAnsi="Verdana" w:cs="Times New Roman"/>
          <w:i w:val="0"/>
          <w:iCs w:val="0"/>
          <w:sz w:val="22"/>
          <w:szCs w:val="22"/>
        </w:rPr>
        <w:t>D</w:t>
      </w:r>
      <w:r w:rsidRPr="007505C7">
        <w:rPr>
          <w:rFonts w:ascii="Verdana" w:hAnsi="Verdana" w:cs="Times New Roman"/>
          <w:i w:val="0"/>
          <w:iCs w:val="0"/>
          <w:sz w:val="22"/>
          <w:szCs w:val="22"/>
        </w:rPr>
        <w:t xml:space="preserve">e la Fuente-Betancourt, G., </w:t>
      </w:r>
      <w:r>
        <w:rPr>
          <w:rFonts w:ascii="Verdana" w:hAnsi="Verdana" w:cs="Times New Roman"/>
          <w:i w:val="0"/>
          <w:iCs w:val="0"/>
          <w:sz w:val="22"/>
          <w:szCs w:val="22"/>
        </w:rPr>
        <w:t>D</w:t>
      </w:r>
      <w:r w:rsidRPr="007505C7">
        <w:rPr>
          <w:rFonts w:ascii="Verdana" w:hAnsi="Verdana" w:cs="Times New Roman"/>
          <w:i w:val="0"/>
          <w:iCs w:val="0"/>
          <w:sz w:val="22"/>
          <w:szCs w:val="22"/>
        </w:rPr>
        <w:t>e Jesús-Navarrete, A., Sosa-Cordero, E., Herrero-</w:t>
      </w:r>
      <w:proofErr w:type="spellStart"/>
      <w:r w:rsidRPr="007505C7">
        <w:rPr>
          <w:rFonts w:ascii="Verdana" w:hAnsi="Verdana" w:cs="Times New Roman"/>
          <w:i w:val="0"/>
          <w:iCs w:val="0"/>
          <w:sz w:val="22"/>
          <w:szCs w:val="22"/>
        </w:rPr>
        <w:t>Perezrul</w:t>
      </w:r>
      <w:proofErr w:type="spellEnd"/>
      <w:r w:rsidRPr="007505C7">
        <w:rPr>
          <w:rFonts w:ascii="Verdana" w:hAnsi="Verdana" w:cs="Times New Roman"/>
          <w:i w:val="0"/>
          <w:iCs w:val="0"/>
          <w:sz w:val="22"/>
          <w:szCs w:val="22"/>
        </w:rPr>
        <w:t xml:space="preserve">, D. (2001). Assessment of the Sea Cucumber (Echinodermata: Holothuroidea) as Potential Fishery Resource in Banco </w:t>
      </w:r>
      <w:proofErr w:type="spellStart"/>
      <w:r w:rsidRPr="007505C7">
        <w:rPr>
          <w:rFonts w:ascii="Verdana" w:hAnsi="Verdana" w:cs="Times New Roman"/>
          <w:i w:val="0"/>
          <w:iCs w:val="0"/>
          <w:sz w:val="22"/>
          <w:szCs w:val="22"/>
        </w:rPr>
        <w:t>Chinchorro</w:t>
      </w:r>
      <w:proofErr w:type="spellEnd"/>
      <w:r w:rsidRPr="007505C7">
        <w:rPr>
          <w:rFonts w:ascii="Verdana" w:hAnsi="Verdana" w:cs="Times New Roman"/>
          <w:i w:val="0"/>
          <w:iCs w:val="0"/>
          <w:sz w:val="22"/>
          <w:szCs w:val="22"/>
        </w:rPr>
        <w:t xml:space="preserve">, Quintana Roo, Mexico. </w:t>
      </w:r>
      <w:r w:rsidR="008D3783" w:rsidRPr="008D3783">
        <w:rPr>
          <w:rFonts w:ascii="Verdana" w:hAnsi="Verdana" w:cs="Times New Roman"/>
          <w:sz w:val="22"/>
          <w:szCs w:val="22"/>
        </w:rPr>
        <w:t>Bulletin of Marine Science</w:t>
      </w:r>
      <w:r w:rsidRPr="007505C7">
        <w:rPr>
          <w:rFonts w:ascii="Verdana" w:hAnsi="Verdana" w:cs="Times New Roman"/>
          <w:i w:val="0"/>
          <w:iCs w:val="0"/>
          <w:sz w:val="22"/>
          <w:szCs w:val="22"/>
        </w:rPr>
        <w:t>, 68(1): 59–67.</w:t>
      </w:r>
    </w:p>
    <w:p w14:paraId="42DD2BB8" w14:textId="77777777" w:rsidR="007505C7" w:rsidRDefault="007505C7" w:rsidP="00FD5B36">
      <w:pPr>
        <w:spacing w:after="0" w:line="276" w:lineRule="auto"/>
        <w:jc w:val="both"/>
        <w:rPr>
          <w:rFonts w:ascii="Verdana" w:eastAsia="Times New Roman" w:hAnsi="Verdana" w:cs="Times New Roman"/>
          <w:i w:val="0"/>
          <w:iCs w:val="0"/>
          <w:sz w:val="22"/>
          <w:szCs w:val="22"/>
        </w:rPr>
      </w:pPr>
    </w:p>
    <w:p w14:paraId="4DB7E94F" w14:textId="403A016E" w:rsidR="00384827" w:rsidRDefault="007D10EC" w:rsidP="00FD5B36">
      <w:pPr>
        <w:spacing w:after="0" w:line="276" w:lineRule="auto"/>
        <w:jc w:val="both"/>
        <w:rPr>
          <w:rFonts w:ascii="Verdana" w:eastAsia="Times New Roman" w:hAnsi="Verdana" w:cs="Times New Roman"/>
          <w:i w:val="0"/>
          <w:iCs w:val="0"/>
          <w:sz w:val="22"/>
          <w:szCs w:val="22"/>
        </w:rPr>
      </w:pPr>
      <w:r w:rsidRPr="0070190A">
        <w:rPr>
          <w:rFonts w:ascii="Verdana" w:eastAsia="Times New Roman" w:hAnsi="Verdana" w:cs="Times New Roman"/>
          <w:i w:val="0"/>
          <w:iCs w:val="0"/>
          <w:sz w:val="22"/>
          <w:szCs w:val="22"/>
        </w:rPr>
        <w:t>Perez, A., &amp; Garcia, O. D. (2012). Socioeconomic</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assessment of the sea cucumber fishery in Belize.</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Belmopan, Belize: University of Belize Environmental Research Institute</w:t>
      </w:r>
      <w:r w:rsidR="0070190A">
        <w:rPr>
          <w:rFonts w:ascii="Verdana" w:eastAsia="Times New Roman" w:hAnsi="Verdana" w:cs="Times New Roman"/>
          <w:i w:val="0"/>
          <w:iCs w:val="0"/>
          <w:sz w:val="22"/>
          <w:szCs w:val="22"/>
        </w:rPr>
        <w:t>.</w:t>
      </w:r>
    </w:p>
    <w:p w14:paraId="00F9BD78" w14:textId="77777777" w:rsidR="0070190A" w:rsidRPr="0070190A" w:rsidRDefault="0070190A" w:rsidP="00FD5B36">
      <w:pPr>
        <w:spacing w:after="0" w:line="276" w:lineRule="auto"/>
        <w:jc w:val="both"/>
        <w:rPr>
          <w:rFonts w:ascii="Verdana" w:eastAsia="Times New Roman" w:hAnsi="Verdana" w:cs="Times New Roman"/>
          <w:i w:val="0"/>
          <w:iCs w:val="0"/>
          <w:sz w:val="22"/>
          <w:szCs w:val="22"/>
        </w:rPr>
      </w:pPr>
    </w:p>
    <w:p w14:paraId="7D2DF1E9" w14:textId="77777777" w:rsidR="0070190A" w:rsidRDefault="007D10EC" w:rsidP="00FD5B36">
      <w:pPr>
        <w:spacing w:after="0" w:line="276" w:lineRule="auto"/>
        <w:jc w:val="both"/>
        <w:rPr>
          <w:rFonts w:ascii="Verdana" w:eastAsia="Times New Roman" w:hAnsi="Verdana" w:cs="Times New Roman"/>
          <w:i w:val="0"/>
          <w:iCs w:val="0"/>
          <w:sz w:val="22"/>
          <w:szCs w:val="22"/>
        </w:rPr>
      </w:pPr>
      <w:r w:rsidRPr="0070190A">
        <w:rPr>
          <w:rFonts w:ascii="Verdana" w:eastAsia="Times New Roman" w:hAnsi="Verdana" w:cs="Times New Roman"/>
          <w:i w:val="0"/>
          <w:iCs w:val="0"/>
          <w:sz w:val="22"/>
          <w:szCs w:val="22"/>
        </w:rPr>
        <w:t>Rogers, A. (2013). Density, abundance and distribution</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 xml:space="preserve">of sea cucumbers in Belize. </w:t>
      </w:r>
      <w:r w:rsidRPr="008D3783">
        <w:rPr>
          <w:rFonts w:ascii="Verdana" w:eastAsia="Times New Roman" w:hAnsi="Verdana" w:cs="Times New Roman"/>
          <w:sz w:val="22"/>
          <w:szCs w:val="22"/>
        </w:rPr>
        <w:t>Proceedings of the Gulf</w:t>
      </w:r>
      <w:r w:rsidR="0070190A" w:rsidRPr="008D3783">
        <w:rPr>
          <w:rFonts w:ascii="Verdana" w:eastAsia="Times New Roman" w:hAnsi="Verdana" w:cs="Times New Roman"/>
          <w:sz w:val="22"/>
          <w:szCs w:val="22"/>
        </w:rPr>
        <w:t xml:space="preserve"> </w:t>
      </w:r>
      <w:r w:rsidRPr="008D3783">
        <w:rPr>
          <w:rFonts w:ascii="Verdana" w:eastAsia="Times New Roman" w:hAnsi="Verdana" w:cs="Times New Roman"/>
          <w:sz w:val="22"/>
          <w:szCs w:val="22"/>
        </w:rPr>
        <w:t>and Caribbean Fisheries Initiative</w:t>
      </w:r>
      <w:r w:rsidRPr="0070190A">
        <w:rPr>
          <w:rFonts w:ascii="Verdana" w:eastAsia="Times New Roman" w:hAnsi="Verdana" w:cs="Times New Roman"/>
          <w:i w:val="0"/>
          <w:iCs w:val="0"/>
          <w:sz w:val="22"/>
          <w:szCs w:val="22"/>
        </w:rPr>
        <w:t xml:space="preserve"> (pp. 483-486).</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Corpus Christi, Texas, USA: Gulf and Caribbean</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Fisheries Institute.</w:t>
      </w:r>
    </w:p>
    <w:p w14:paraId="0E6393B4" w14:textId="4E8270CB" w:rsidR="007D10EC" w:rsidRDefault="007D10EC" w:rsidP="00FD5B36">
      <w:pPr>
        <w:spacing w:after="0" w:line="276" w:lineRule="auto"/>
        <w:jc w:val="both"/>
        <w:rPr>
          <w:rFonts w:ascii="Verdana" w:eastAsia="Times New Roman" w:hAnsi="Verdana" w:cs="Times New Roman"/>
          <w:i w:val="0"/>
          <w:iCs w:val="0"/>
          <w:sz w:val="22"/>
          <w:szCs w:val="22"/>
        </w:rPr>
      </w:pPr>
      <w:r w:rsidRPr="0070190A">
        <w:rPr>
          <w:rFonts w:ascii="Verdana" w:eastAsia="Times New Roman" w:hAnsi="Verdana" w:cs="Times New Roman"/>
          <w:i w:val="0"/>
          <w:iCs w:val="0"/>
          <w:sz w:val="22"/>
          <w:szCs w:val="22"/>
        </w:rPr>
        <w:br/>
        <w:t>Rogers, A., Hamel, J.-F., Baker, S., &amp; Mercier, A. (2018).</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 xml:space="preserve">The 2009-2016 Belize sea cucumber fishery: Resource use patterns, management strategies and socioeconomic impacts. </w:t>
      </w:r>
      <w:r w:rsidRPr="008D3783">
        <w:rPr>
          <w:rFonts w:ascii="Verdana" w:eastAsia="Times New Roman" w:hAnsi="Verdana" w:cs="Times New Roman"/>
          <w:sz w:val="22"/>
          <w:szCs w:val="22"/>
        </w:rPr>
        <w:t>Regional Studies in Marine Science</w:t>
      </w:r>
      <w:r w:rsidR="0070190A">
        <w:rPr>
          <w:rFonts w:ascii="Verdana" w:eastAsia="Times New Roman" w:hAnsi="Verdana" w:cs="Times New Roman"/>
          <w:i w:val="0"/>
          <w:iCs w:val="0"/>
          <w:sz w:val="22"/>
          <w:szCs w:val="22"/>
        </w:rPr>
        <w:t xml:space="preserve"> </w:t>
      </w:r>
      <w:r w:rsidRPr="0070190A">
        <w:rPr>
          <w:rFonts w:ascii="Verdana" w:eastAsia="Times New Roman" w:hAnsi="Verdana" w:cs="Times New Roman"/>
          <w:i w:val="0"/>
          <w:iCs w:val="0"/>
          <w:sz w:val="22"/>
          <w:szCs w:val="22"/>
        </w:rPr>
        <w:t>22</w:t>
      </w:r>
      <w:r w:rsidR="0070190A">
        <w:rPr>
          <w:rFonts w:ascii="Verdana" w:eastAsia="Times New Roman" w:hAnsi="Verdana" w:cs="Times New Roman"/>
          <w:i w:val="0"/>
          <w:iCs w:val="0"/>
          <w:sz w:val="22"/>
          <w:szCs w:val="22"/>
        </w:rPr>
        <w:t>:</w:t>
      </w:r>
      <w:r w:rsidRPr="0070190A">
        <w:rPr>
          <w:rFonts w:ascii="Verdana" w:eastAsia="Times New Roman" w:hAnsi="Verdana" w:cs="Times New Roman"/>
          <w:i w:val="0"/>
          <w:iCs w:val="0"/>
          <w:sz w:val="22"/>
          <w:szCs w:val="22"/>
        </w:rPr>
        <w:t xml:space="preserve"> 9-20</w:t>
      </w:r>
      <w:r w:rsidR="0070190A">
        <w:rPr>
          <w:rFonts w:ascii="Verdana" w:eastAsia="Times New Roman" w:hAnsi="Verdana" w:cs="Times New Roman"/>
          <w:i w:val="0"/>
          <w:iCs w:val="0"/>
          <w:sz w:val="22"/>
          <w:szCs w:val="22"/>
        </w:rPr>
        <w:t>.</w:t>
      </w:r>
    </w:p>
    <w:p w14:paraId="7E100F29" w14:textId="77777777" w:rsidR="0070190A" w:rsidRPr="0070190A" w:rsidRDefault="0070190A" w:rsidP="00FD5B36">
      <w:pPr>
        <w:spacing w:after="0" w:line="276" w:lineRule="auto"/>
        <w:jc w:val="both"/>
        <w:rPr>
          <w:rFonts w:ascii="Verdana" w:eastAsia="Times New Roman" w:hAnsi="Verdana" w:cs="Times New Roman"/>
          <w:i w:val="0"/>
          <w:iCs w:val="0"/>
          <w:sz w:val="22"/>
          <w:szCs w:val="22"/>
        </w:rPr>
      </w:pPr>
    </w:p>
    <w:p w14:paraId="0B4FFAA2" w14:textId="77777777" w:rsidR="0070190A" w:rsidRDefault="006737DF" w:rsidP="00FD5B36">
      <w:pPr>
        <w:pStyle w:val="Default"/>
        <w:spacing w:line="276" w:lineRule="auto"/>
        <w:jc w:val="both"/>
        <w:rPr>
          <w:rFonts w:ascii="Verdana" w:hAnsi="Verdana" w:cs="Bangla MN"/>
        </w:rPr>
      </w:pPr>
      <w:r w:rsidRPr="0070190A">
        <w:rPr>
          <w:rFonts w:ascii="Verdana" w:hAnsi="Verdana" w:cs="Bangla MN"/>
        </w:rPr>
        <w:t>Toledo Institute for Development and Environment. 2019. Port Honduras Marine Reserve Benthic Commercial Species Update 2019. 35 pp.</w:t>
      </w:r>
    </w:p>
    <w:p w14:paraId="6E020700" w14:textId="7C4F5A81" w:rsidR="00591983" w:rsidRPr="0070190A" w:rsidRDefault="006737DF" w:rsidP="00FD5B36">
      <w:pPr>
        <w:pStyle w:val="Default"/>
        <w:spacing w:line="276" w:lineRule="auto"/>
        <w:jc w:val="both"/>
        <w:rPr>
          <w:rFonts w:ascii="Verdana" w:hAnsi="Verdana" w:cs="Bangla MN"/>
        </w:rPr>
      </w:pPr>
      <w:proofErr w:type="spellStart"/>
      <w:r w:rsidRPr="0070190A">
        <w:rPr>
          <w:rFonts w:ascii="Verdana" w:hAnsi="Verdana"/>
        </w:rPr>
        <w:t>Wildtracks</w:t>
      </w:r>
      <w:proofErr w:type="spellEnd"/>
      <w:r w:rsidRPr="0070190A">
        <w:rPr>
          <w:rFonts w:ascii="Verdana" w:hAnsi="Verdana"/>
        </w:rPr>
        <w:t>. 2017. Port Honduras Marine Reserve - Management Plan 2017-2021. 236 pp.</w:t>
      </w:r>
    </w:p>
    <w:sectPr w:rsidR="00591983" w:rsidRPr="0070190A" w:rsidSect="00E627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9D05" w14:textId="77777777" w:rsidR="0020082E" w:rsidRDefault="0020082E" w:rsidP="009D7AEE">
      <w:r>
        <w:separator/>
      </w:r>
    </w:p>
  </w:endnote>
  <w:endnote w:type="continuationSeparator" w:id="0">
    <w:p w14:paraId="0F28DEBF" w14:textId="77777777" w:rsidR="0020082E" w:rsidRDefault="0020082E" w:rsidP="009D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ngla MN">
    <w:panose1 w:val="00000500000000000000"/>
    <w:charset w:val="00"/>
    <w:family w:val="auto"/>
    <w:pitch w:val="variable"/>
    <w:sig w:usb0="0001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9CCC" w14:textId="77777777" w:rsidR="00EC647E" w:rsidRDefault="00EC6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89B4" w14:textId="77777777" w:rsidR="00EC647E" w:rsidRDefault="00EC6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564D" w14:textId="77777777" w:rsidR="00EC647E" w:rsidRDefault="00EC6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14FA" w14:textId="77777777" w:rsidR="0020082E" w:rsidRDefault="0020082E" w:rsidP="009D7AEE">
      <w:r>
        <w:separator/>
      </w:r>
    </w:p>
  </w:footnote>
  <w:footnote w:type="continuationSeparator" w:id="0">
    <w:p w14:paraId="167F66AC" w14:textId="77777777" w:rsidR="0020082E" w:rsidRDefault="0020082E" w:rsidP="009D7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2C6E" w14:textId="77777777" w:rsidR="00E5445E" w:rsidRDefault="00E5445E">
    <w:pPr>
      <w:pStyle w:val="Header"/>
    </w:pPr>
  </w:p>
  <w:p w14:paraId="5F86A665" w14:textId="68330E48" w:rsidR="00987F0D" w:rsidRDefault="00987F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679A" w14:textId="42D45E50" w:rsidR="00987F0D" w:rsidRDefault="00987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2043" w14:textId="3614CF6D" w:rsidR="008267F8" w:rsidRDefault="00465D54">
    <w:r>
      <w:cr/>
    </w:r>
  </w:p>
  <w:p w14:paraId="635562E6" w14:textId="4F852B21" w:rsidR="00987F0D" w:rsidRDefault="00987F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2ED50"/>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83"/>
    <w:rsid w:val="00000A67"/>
    <w:rsid w:val="00002C58"/>
    <w:rsid w:val="00003CD4"/>
    <w:rsid w:val="00005FD7"/>
    <w:rsid w:val="000173D7"/>
    <w:rsid w:val="00025214"/>
    <w:rsid w:val="000375BC"/>
    <w:rsid w:val="00047521"/>
    <w:rsid w:val="000527EE"/>
    <w:rsid w:val="000638D6"/>
    <w:rsid w:val="00064829"/>
    <w:rsid w:val="0007257D"/>
    <w:rsid w:val="000766F9"/>
    <w:rsid w:val="0009314D"/>
    <w:rsid w:val="000935EF"/>
    <w:rsid w:val="0009661B"/>
    <w:rsid w:val="00097B37"/>
    <w:rsid w:val="000B7739"/>
    <w:rsid w:val="000C16BA"/>
    <w:rsid w:val="000C75D1"/>
    <w:rsid w:val="000D4590"/>
    <w:rsid w:val="000E4215"/>
    <w:rsid w:val="000F0B45"/>
    <w:rsid w:val="00110787"/>
    <w:rsid w:val="001131B1"/>
    <w:rsid w:val="00131D91"/>
    <w:rsid w:val="0013629C"/>
    <w:rsid w:val="00140B57"/>
    <w:rsid w:val="00143F41"/>
    <w:rsid w:val="00145473"/>
    <w:rsid w:val="00151527"/>
    <w:rsid w:val="00151A75"/>
    <w:rsid w:val="001567F5"/>
    <w:rsid w:val="00180157"/>
    <w:rsid w:val="00183C3F"/>
    <w:rsid w:val="001873CE"/>
    <w:rsid w:val="001913D8"/>
    <w:rsid w:val="001960C8"/>
    <w:rsid w:val="00196AD2"/>
    <w:rsid w:val="001A0659"/>
    <w:rsid w:val="001A3F05"/>
    <w:rsid w:val="001A5029"/>
    <w:rsid w:val="001A75F8"/>
    <w:rsid w:val="001B1C86"/>
    <w:rsid w:val="001B3E5D"/>
    <w:rsid w:val="001B7706"/>
    <w:rsid w:val="001E258D"/>
    <w:rsid w:val="0020082E"/>
    <w:rsid w:val="0020318F"/>
    <w:rsid w:val="0020585F"/>
    <w:rsid w:val="00207930"/>
    <w:rsid w:val="00210BED"/>
    <w:rsid w:val="00217344"/>
    <w:rsid w:val="00222C55"/>
    <w:rsid w:val="00226EB9"/>
    <w:rsid w:val="00241A98"/>
    <w:rsid w:val="00247EBC"/>
    <w:rsid w:val="00250C36"/>
    <w:rsid w:val="002534C5"/>
    <w:rsid w:val="0025558E"/>
    <w:rsid w:val="002556EF"/>
    <w:rsid w:val="00256DEE"/>
    <w:rsid w:val="00263A96"/>
    <w:rsid w:val="00271D86"/>
    <w:rsid w:val="0027479E"/>
    <w:rsid w:val="00277A18"/>
    <w:rsid w:val="002A4C22"/>
    <w:rsid w:val="002B4927"/>
    <w:rsid w:val="002B7B10"/>
    <w:rsid w:val="002B7EDF"/>
    <w:rsid w:val="002D0B84"/>
    <w:rsid w:val="002F414F"/>
    <w:rsid w:val="002F767B"/>
    <w:rsid w:val="003040DB"/>
    <w:rsid w:val="00307F43"/>
    <w:rsid w:val="0031054B"/>
    <w:rsid w:val="0031288E"/>
    <w:rsid w:val="0031689F"/>
    <w:rsid w:val="00321642"/>
    <w:rsid w:val="00325B61"/>
    <w:rsid w:val="003265B6"/>
    <w:rsid w:val="0034024D"/>
    <w:rsid w:val="003454DE"/>
    <w:rsid w:val="00364E6E"/>
    <w:rsid w:val="00365933"/>
    <w:rsid w:val="0037247A"/>
    <w:rsid w:val="00372FCC"/>
    <w:rsid w:val="00375B46"/>
    <w:rsid w:val="0038196F"/>
    <w:rsid w:val="00384827"/>
    <w:rsid w:val="00384EC7"/>
    <w:rsid w:val="00385F74"/>
    <w:rsid w:val="00395213"/>
    <w:rsid w:val="00396A5A"/>
    <w:rsid w:val="003B0CE5"/>
    <w:rsid w:val="003B14B6"/>
    <w:rsid w:val="003B40E6"/>
    <w:rsid w:val="003E0E2E"/>
    <w:rsid w:val="003E1ADA"/>
    <w:rsid w:val="003E2A2C"/>
    <w:rsid w:val="003E694B"/>
    <w:rsid w:val="00402B94"/>
    <w:rsid w:val="00415732"/>
    <w:rsid w:val="00415F7F"/>
    <w:rsid w:val="00420299"/>
    <w:rsid w:val="004377A3"/>
    <w:rsid w:val="00441126"/>
    <w:rsid w:val="00443DB4"/>
    <w:rsid w:val="00451EFC"/>
    <w:rsid w:val="00460AC2"/>
    <w:rsid w:val="0046169D"/>
    <w:rsid w:val="00465976"/>
    <w:rsid w:val="00465D54"/>
    <w:rsid w:val="00471BBD"/>
    <w:rsid w:val="00473F20"/>
    <w:rsid w:val="0048006C"/>
    <w:rsid w:val="00481974"/>
    <w:rsid w:val="00482B48"/>
    <w:rsid w:val="004A70A6"/>
    <w:rsid w:val="004B0FFB"/>
    <w:rsid w:val="004D5F07"/>
    <w:rsid w:val="004E1E5B"/>
    <w:rsid w:val="004E4BE9"/>
    <w:rsid w:val="0050077D"/>
    <w:rsid w:val="00523971"/>
    <w:rsid w:val="00524B60"/>
    <w:rsid w:val="00535831"/>
    <w:rsid w:val="0053634A"/>
    <w:rsid w:val="00541342"/>
    <w:rsid w:val="00544CB2"/>
    <w:rsid w:val="00546081"/>
    <w:rsid w:val="005479DA"/>
    <w:rsid w:val="00555B5D"/>
    <w:rsid w:val="00565674"/>
    <w:rsid w:val="00586E0A"/>
    <w:rsid w:val="00587CB4"/>
    <w:rsid w:val="00591983"/>
    <w:rsid w:val="005960C7"/>
    <w:rsid w:val="005A0A8C"/>
    <w:rsid w:val="005A0DA6"/>
    <w:rsid w:val="005B2772"/>
    <w:rsid w:val="005C3539"/>
    <w:rsid w:val="005C4B18"/>
    <w:rsid w:val="005C5353"/>
    <w:rsid w:val="005C7FEB"/>
    <w:rsid w:val="005D3372"/>
    <w:rsid w:val="005E07EB"/>
    <w:rsid w:val="005F1BB6"/>
    <w:rsid w:val="005F70C2"/>
    <w:rsid w:val="0061024A"/>
    <w:rsid w:val="00610F98"/>
    <w:rsid w:val="00622BE6"/>
    <w:rsid w:val="00627CC3"/>
    <w:rsid w:val="00630FCB"/>
    <w:rsid w:val="00640040"/>
    <w:rsid w:val="00640BE1"/>
    <w:rsid w:val="00646DF8"/>
    <w:rsid w:val="00671CB3"/>
    <w:rsid w:val="006737DF"/>
    <w:rsid w:val="00680D9A"/>
    <w:rsid w:val="0068160A"/>
    <w:rsid w:val="0068399D"/>
    <w:rsid w:val="006848CD"/>
    <w:rsid w:val="006955EE"/>
    <w:rsid w:val="006A093C"/>
    <w:rsid w:val="006A3A7F"/>
    <w:rsid w:val="006A60CA"/>
    <w:rsid w:val="006B7DAC"/>
    <w:rsid w:val="006C13E5"/>
    <w:rsid w:val="006C2892"/>
    <w:rsid w:val="006C46A6"/>
    <w:rsid w:val="006D015F"/>
    <w:rsid w:val="006D62FA"/>
    <w:rsid w:val="006E00A5"/>
    <w:rsid w:val="006E5A8F"/>
    <w:rsid w:val="006F4D87"/>
    <w:rsid w:val="006F6133"/>
    <w:rsid w:val="006F74F0"/>
    <w:rsid w:val="0070190A"/>
    <w:rsid w:val="0071733B"/>
    <w:rsid w:val="0072231B"/>
    <w:rsid w:val="00722AB7"/>
    <w:rsid w:val="00724DCF"/>
    <w:rsid w:val="00725D6B"/>
    <w:rsid w:val="00741E11"/>
    <w:rsid w:val="007505C7"/>
    <w:rsid w:val="00751FE6"/>
    <w:rsid w:val="0075658C"/>
    <w:rsid w:val="00773FCB"/>
    <w:rsid w:val="0077435F"/>
    <w:rsid w:val="00774B91"/>
    <w:rsid w:val="007775E2"/>
    <w:rsid w:val="00777EF8"/>
    <w:rsid w:val="007832C6"/>
    <w:rsid w:val="007924EE"/>
    <w:rsid w:val="007C5DAB"/>
    <w:rsid w:val="007D10EC"/>
    <w:rsid w:val="007D6381"/>
    <w:rsid w:val="007D738E"/>
    <w:rsid w:val="007E1480"/>
    <w:rsid w:val="007E338F"/>
    <w:rsid w:val="007E43E2"/>
    <w:rsid w:val="007F1498"/>
    <w:rsid w:val="007F67D8"/>
    <w:rsid w:val="007F6D3B"/>
    <w:rsid w:val="007F7F0B"/>
    <w:rsid w:val="0080232B"/>
    <w:rsid w:val="00806B44"/>
    <w:rsid w:val="00810DE9"/>
    <w:rsid w:val="0081781B"/>
    <w:rsid w:val="008178BB"/>
    <w:rsid w:val="00822978"/>
    <w:rsid w:val="00824522"/>
    <w:rsid w:val="008267F8"/>
    <w:rsid w:val="00836916"/>
    <w:rsid w:val="00843CA3"/>
    <w:rsid w:val="00845FC5"/>
    <w:rsid w:val="00847F64"/>
    <w:rsid w:val="0086390E"/>
    <w:rsid w:val="0087180C"/>
    <w:rsid w:val="0088166F"/>
    <w:rsid w:val="00882B16"/>
    <w:rsid w:val="008910FC"/>
    <w:rsid w:val="008930A1"/>
    <w:rsid w:val="00893E92"/>
    <w:rsid w:val="008965DF"/>
    <w:rsid w:val="008A0E44"/>
    <w:rsid w:val="008A21E3"/>
    <w:rsid w:val="008B3FC8"/>
    <w:rsid w:val="008C1EB5"/>
    <w:rsid w:val="008C2FE2"/>
    <w:rsid w:val="008C352F"/>
    <w:rsid w:val="008C3B3C"/>
    <w:rsid w:val="008D3783"/>
    <w:rsid w:val="008E67A8"/>
    <w:rsid w:val="009009E9"/>
    <w:rsid w:val="0090156D"/>
    <w:rsid w:val="009059E6"/>
    <w:rsid w:val="00917112"/>
    <w:rsid w:val="009176A2"/>
    <w:rsid w:val="0092088F"/>
    <w:rsid w:val="009260EB"/>
    <w:rsid w:val="00933598"/>
    <w:rsid w:val="009354FB"/>
    <w:rsid w:val="009425C1"/>
    <w:rsid w:val="00942861"/>
    <w:rsid w:val="00944725"/>
    <w:rsid w:val="00947C63"/>
    <w:rsid w:val="0095151E"/>
    <w:rsid w:val="00951997"/>
    <w:rsid w:val="00962EF8"/>
    <w:rsid w:val="009656BA"/>
    <w:rsid w:val="00972F16"/>
    <w:rsid w:val="00987F0D"/>
    <w:rsid w:val="009A32EF"/>
    <w:rsid w:val="009A4B98"/>
    <w:rsid w:val="009A6191"/>
    <w:rsid w:val="009B57AE"/>
    <w:rsid w:val="009C37B8"/>
    <w:rsid w:val="009D10BB"/>
    <w:rsid w:val="009D7AEE"/>
    <w:rsid w:val="009E466F"/>
    <w:rsid w:val="009F01CC"/>
    <w:rsid w:val="009F1568"/>
    <w:rsid w:val="00A14A8F"/>
    <w:rsid w:val="00A168F8"/>
    <w:rsid w:val="00A17D34"/>
    <w:rsid w:val="00A27603"/>
    <w:rsid w:val="00A364AE"/>
    <w:rsid w:val="00A51021"/>
    <w:rsid w:val="00A55C77"/>
    <w:rsid w:val="00A62899"/>
    <w:rsid w:val="00A727A5"/>
    <w:rsid w:val="00A75857"/>
    <w:rsid w:val="00A76B4F"/>
    <w:rsid w:val="00A916B6"/>
    <w:rsid w:val="00A970D5"/>
    <w:rsid w:val="00AA3129"/>
    <w:rsid w:val="00AA61EC"/>
    <w:rsid w:val="00AA662C"/>
    <w:rsid w:val="00AB0EFA"/>
    <w:rsid w:val="00AB24F2"/>
    <w:rsid w:val="00AB5978"/>
    <w:rsid w:val="00AC4C85"/>
    <w:rsid w:val="00AC6B16"/>
    <w:rsid w:val="00AD7AB2"/>
    <w:rsid w:val="00AE4F6C"/>
    <w:rsid w:val="00AE5C5B"/>
    <w:rsid w:val="00AF110D"/>
    <w:rsid w:val="00AF43C1"/>
    <w:rsid w:val="00B10404"/>
    <w:rsid w:val="00B122DC"/>
    <w:rsid w:val="00B14404"/>
    <w:rsid w:val="00B279A1"/>
    <w:rsid w:val="00B330C8"/>
    <w:rsid w:val="00B3634D"/>
    <w:rsid w:val="00B36C6C"/>
    <w:rsid w:val="00B46C72"/>
    <w:rsid w:val="00B55AD0"/>
    <w:rsid w:val="00B80BED"/>
    <w:rsid w:val="00B873DE"/>
    <w:rsid w:val="00BA51F4"/>
    <w:rsid w:val="00BB355B"/>
    <w:rsid w:val="00BB4CAD"/>
    <w:rsid w:val="00BB5048"/>
    <w:rsid w:val="00BB5D04"/>
    <w:rsid w:val="00BC2F83"/>
    <w:rsid w:val="00BD389E"/>
    <w:rsid w:val="00BD549F"/>
    <w:rsid w:val="00C11D52"/>
    <w:rsid w:val="00C25194"/>
    <w:rsid w:val="00C3088A"/>
    <w:rsid w:val="00C30CDA"/>
    <w:rsid w:val="00C31D1E"/>
    <w:rsid w:val="00C34936"/>
    <w:rsid w:val="00C375BD"/>
    <w:rsid w:val="00C40417"/>
    <w:rsid w:val="00C410B9"/>
    <w:rsid w:val="00C52FB1"/>
    <w:rsid w:val="00C60F09"/>
    <w:rsid w:val="00C67A9C"/>
    <w:rsid w:val="00C71010"/>
    <w:rsid w:val="00C7391E"/>
    <w:rsid w:val="00C821F0"/>
    <w:rsid w:val="00C90AB7"/>
    <w:rsid w:val="00C9200E"/>
    <w:rsid w:val="00C93E78"/>
    <w:rsid w:val="00C94237"/>
    <w:rsid w:val="00C94F10"/>
    <w:rsid w:val="00CA4446"/>
    <w:rsid w:val="00CA47C4"/>
    <w:rsid w:val="00CB453B"/>
    <w:rsid w:val="00CB4739"/>
    <w:rsid w:val="00CC2095"/>
    <w:rsid w:val="00CC4788"/>
    <w:rsid w:val="00CD072D"/>
    <w:rsid w:val="00CD27A6"/>
    <w:rsid w:val="00CE08F0"/>
    <w:rsid w:val="00CE6ACA"/>
    <w:rsid w:val="00CE7808"/>
    <w:rsid w:val="00CF0D66"/>
    <w:rsid w:val="00CF16F5"/>
    <w:rsid w:val="00CF337F"/>
    <w:rsid w:val="00D0388B"/>
    <w:rsid w:val="00D041CE"/>
    <w:rsid w:val="00D05804"/>
    <w:rsid w:val="00D07774"/>
    <w:rsid w:val="00D13D79"/>
    <w:rsid w:val="00D14C68"/>
    <w:rsid w:val="00D17B2C"/>
    <w:rsid w:val="00D26BEA"/>
    <w:rsid w:val="00D33572"/>
    <w:rsid w:val="00D451BD"/>
    <w:rsid w:val="00D50655"/>
    <w:rsid w:val="00D554BC"/>
    <w:rsid w:val="00D5713F"/>
    <w:rsid w:val="00D658E0"/>
    <w:rsid w:val="00D661FC"/>
    <w:rsid w:val="00D7015C"/>
    <w:rsid w:val="00D81B9F"/>
    <w:rsid w:val="00D8234C"/>
    <w:rsid w:val="00D8427C"/>
    <w:rsid w:val="00D95167"/>
    <w:rsid w:val="00DA38D6"/>
    <w:rsid w:val="00DB62AA"/>
    <w:rsid w:val="00DB7E72"/>
    <w:rsid w:val="00DC3287"/>
    <w:rsid w:val="00DD099B"/>
    <w:rsid w:val="00DF5CB8"/>
    <w:rsid w:val="00E112FB"/>
    <w:rsid w:val="00E11E37"/>
    <w:rsid w:val="00E22D11"/>
    <w:rsid w:val="00E5445E"/>
    <w:rsid w:val="00E54D8F"/>
    <w:rsid w:val="00E56677"/>
    <w:rsid w:val="00E57730"/>
    <w:rsid w:val="00E62735"/>
    <w:rsid w:val="00E62BD2"/>
    <w:rsid w:val="00E63748"/>
    <w:rsid w:val="00E63A2A"/>
    <w:rsid w:val="00E64A97"/>
    <w:rsid w:val="00E74687"/>
    <w:rsid w:val="00E828B2"/>
    <w:rsid w:val="00E8642D"/>
    <w:rsid w:val="00E90274"/>
    <w:rsid w:val="00E91D96"/>
    <w:rsid w:val="00E9629B"/>
    <w:rsid w:val="00EB1BF2"/>
    <w:rsid w:val="00EB32C7"/>
    <w:rsid w:val="00EB7E2D"/>
    <w:rsid w:val="00EC647E"/>
    <w:rsid w:val="00ED204B"/>
    <w:rsid w:val="00ED2E53"/>
    <w:rsid w:val="00ED6B07"/>
    <w:rsid w:val="00EE3938"/>
    <w:rsid w:val="00EE6F80"/>
    <w:rsid w:val="00EF19BC"/>
    <w:rsid w:val="00EF3756"/>
    <w:rsid w:val="00F00697"/>
    <w:rsid w:val="00F0582D"/>
    <w:rsid w:val="00F05CFA"/>
    <w:rsid w:val="00F06928"/>
    <w:rsid w:val="00F153D7"/>
    <w:rsid w:val="00F235FA"/>
    <w:rsid w:val="00F27D18"/>
    <w:rsid w:val="00F3046C"/>
    <w:rsid w:val="00F318D6"/>
    <w:rsid w:val="00F327A0"/>
    <w:rsid w:val="00F33114"/>
    <w:rsid w:val="00F4261F"/>
    <w:rsid w:val="00F6786D"/>
    <w:rsid w:val="00F7562A"/>
    <w:rsid w:val="00F7736D"/>
    <w:rsid w:val="00F81DE9"/>
    <w:rsid w:val="00F832B2"/>
    <w:rsid w:val="00F93198"/>
    <w:rsid w:val="00FB0605"/>
    <w:rsid w:val="00FB5BD5"/>
    <w:rsid w:val="00FC0BAD"/>
    <w:rsid w:val="00FD127A"/>
    <w:rsid w:val="00FD319B"/>
    <w:rsid w:val="00FD5B36"/>
    <w:rsid w:val="00FE35C9"/>
    <w:rsid w:val="00FE5DB0"/>
    <w:rsid w:val="00FE7CBC"/>
    <w:rsid w:val="00FF2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0848"/>
  <w15:chartTrackingRefBased/>
  <w15:docId w15:val="{2CF6451E-D2D3-E149-BB01-6FF3A0DB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2AA"/>
    <w:rPr>
      <w:i/>
      <w:iCs/>
      <w:sz w:val="20"/>
      <w:szCs w:val="20"/>
    </w:rPr>
  </w:style>
  <w:style w:type="paragraph" w:styleId="Heading1">
    <w:name w:val="heading 1"/>
    <w:basedOn w:val="Normal"/>
    <w:next w:val="Normal"/>
    <w:link w:val="Heading1Char"/>
    <w:uiPriority w:val="9"/>
    <w:qFormat/>
    <w:rsid w:val="00DB62AA"/>
    <w:pPr>
      <w:pBdr>
        <w:top w:val="single" w:sz="8" w:space="0" w:color="2683C6" w:themeColor="accent2"/>
        <w:left w:val="single" w:sz="8" w:space="0" w:color="2683C6" w:themeColor="accent2"/>
        <w:bottom w:val="single" w:sz="8" w:space="0" w:color="2683C6" w:themeColor="accent2"/>
        <w:right w:val="single" w:sz="8" w:space="0" w:color="2683C6" w:themeColor="accent2"/>
      </w:pBdr>
      <w:shd w:val="clear" w:color="auto" w:fill="D0E6F6" w:themeFill="accent2" w:themeFillTint="33"/>
      <w:spacing w:before="480" w:after="100" w:line="269" w:lineRule="auto"/>
      <w:contextualSpacing/>
      <w:outlineLvl w:val="0"/>
    </w:pPr>
    <w:rPr>
      <w:rFonts w:asciiTheme="majorHAnsi" w:eastAsiaTheme="majorEastAsia" w:hAnsiTheme="majorHAnsi" w:cstheme="majorBidi"/>
      <w:b/>
      <w:bCs/>
      <w:color w:val="134162" w:themeColor="accent2" w:themeShade="7F"/>
      <w:sz w:val="22"/>
      <w:szCs w:val="22"/>
    </w:rPr>
  </w:style>
  <w:style w:type="paragraph" w:styleId="Heading2">
    <w:name w:val="heading 2"/>
    <w:basedOn w:val="Normal"/>
    <w:next w:val="Normal"/>
    <w:link w:val="Heading2Char"/>
    <w:uiPriority w:val="9"/>
    <w:semiHidden/>
    <w:unhideWhenUsed/>
    <w:qFormat/>
    <w:rsid w:val="00DB62AA"/>
    <w:pPr>
      <w:pBdr>
        <w:top w:val="single" w:sz="4" w:space="0" w:color="2683C6" w:themeColor="accent2"/>
        <w:left w:val="single" w:sz="48" w:space="2" w:color="2683C6" w:themeColor="accent2"/>
        <w:bottom w:val="single" w:sz="4" w:space="0" w:color="2683C6" w:themeColor="accent2"/>
        <w:right w:val="single" w:sz="4" w:space="4" w:color="2683C6" w:themeColor="accent2"/>
      </w:pBdr>
      <w:spacing w:before="200" w:after="100" w:line="269" w:lineRule="auto"/>
      <w:ind w:left="144"/>
      <w:contextualSpacing/>
      <w:outlineLvl w:val="1"/>
    </w:pPr>
    <w:rPr>
      <w:rFonts w:asciiTheme="majorHAnsi" w:eastAsiaTheme="majorEastAsia" w:hAnsiTheme="majorHAnsi" w:cstheme="majorBidi"/>
      <w:b/>
      <w:bCs/>
      <w:color w:val="1C6194" w:themeColor="accent2" w:themeShade="BF"/>
      <w:sz w:val="22"/>
      <w:szCs w:val="22"/>
    </w:rPr>
  </w:style>
  <w:style w:type="paragraph" w:styleId="Heading3">
    <w:name w:val="heading 3"/>
    <w:basedOn w:val="Normal"/>
    <w:next w:val="Normal"/>
    <w:link w:val="Heading3Char"/>
    <w:uiPriority w:val="9"/>
    <w:semiHidden/>
    <w:unhideWhenUsed/>
    <w:qFormat/>
    <w:rsid w:val="00DB62AA"/>
    <w:pPr>
      <w:pBdr>
        <w:left w:val="single" w:sz="48" w:space="2" w:color="2683C6" w:themeColor="accent2"/>
        <w:bottom w:val="single" w:sz="4" w:space="0" w:color="2683C6" w:themeColor="accent2"/>
      </w:pBdr>
      <w:spacing w:before="200" w:after="100" w:line="240" w:lineRule="auto"/>
      <w:ind w:left="144"/>
      <w:contextualSpacing/>
      <w:outlineLvl w:val="2"/>
    </w:pPr>
    <w:rPr>
      <w:rFonts w:asciiTheme="majorHAnsi" w:eastAsiaTheme="majorEastAsia" w:hAnsiTheme="majorHAnsi" w:cstheme="majorBidi"/>
      <w:b/>
      <w:bCs/>
      <w:color w:val="1C6194" w:themeColor="accent2" w:themeShade="BF"/>
      <w:sz w:val="22"/>
      <w:szCs w:val="22"/>
    </w:rPr>
  </w:style>
  <w:style w:type="paragraph" w:styleId="Heading4">
    <w:name w:val="heading 4"/>
    <w:basedOn w:val="Normal"/>
    <w:next w:val="Normal"/>
    <w:link w:val="Heading4Char"/>
    <w:uiPriority w:val="9"/>
    <w:semiHidden/>
    <w:unhideWhenUsed/>
    <w:qFormat/>
    <w:rsid w:val="00DB62AA"/>
    <w:pPr>
      <w:pBdr>
        <w:left w:val="single" w:sz="4" w:space="2" w:color="2683C6" w:themeColor="accent2"/>
        <w:bottom w:val="single" w:sz="4" w:space="2" w:color="2683C6" w:themeColor="accent2"/>
      </w:pBdr>
      <w:spacing w:before="200" w:after="100" w:line="240" w:lineRule="auto"/>
      <w:ind w:left="86"/>
      <w:contextualSpacing/>
      <w:outlineLvl w:val="3"/>
    </w:pPr>
    <w:rPr>
      <w:rFonts w:asciiTheme="majorHAnsi" w:eastAsiaTheme="majorEastAsia" w:hAnsiTheme="majorHAnsi" w:cstheme="majorBidi"/>
      <w:b/>
      <w:bCs/>
      <w:color w:val="1C6194" w:themeColor="accent2" w:themeShade="BF"/>
      <w:sz w:val="22"/>
      <w:szCs w:val="22"/>
    </w:rPr>
  </w:style>
  <w:style w:type="paragraph" w:styleId="Heading5">
    <w:name w:val="heading 5"/>
    <w:basedOn w:val="Normal"/>
    <w:next w:val="Normal"/>
    <w:link w:val="Heading5Char"/>
    <w:uiPriority w:val="9"/>
    <w:semiHidden/>
    <w:unhideWhenUsed/>
    <w:qFormat/>
    <w:rsid w:val="00DB62AA"/>
    <w:pPr>
      <w:pBdr>
        <w:left w:val="dotted" w:sz="4" w:space="2" w:color="2683C6" w:themeColor="accent2"/>
        <w:bottom w:val="dotted" w:sz="4" w:space="2" w:color="2683C6" w:themeColor="accent2"/>
      </w:pBdr>
      <w:spacing w:before="200" w:after="100" w:line="240" w:lineRule="auto"/>
      <w:ind w:left="86"/>
      <w:contextualSpacing/>
      <w:outlineLvl w:val="4"/>
    </w:pPr>
    <w:rPr>
      <w:rFonts w:asciiTheme="majorHAnsi" w:eastAsiaTheme="majorEastAsia" w:hAnsiTheme="majorHAnsi" w:cstheme="majorBidi"/>
      <w:b/>
      <w:bCs/>
      <w:color w:val="1C6194" w:themeColor="accent2" w:themeShade="BF"/>
      <w:sz w:val="22"/>
      <w:szCs w:val="22"/>
    </w:rPr>
  </w:style>
  <w:style w:type="paragraph" w:styleId="Heading6">
    <w:name w:val="heading 6"/>
    <w:basedOn w:val="Normal"/>
    <w:next w:val="Normal"/>
    <w:link w:val="Heading6Char"/>
    <w:uiPriority w:val="9"/>
    <w:semiHidden/>
    <w:unhideWhenUsed/>
    <w:qFormat/>
    <w:rsid w:val="00DB62AA"/>
    <w:pPr>
      <w:pBdr>
        <w:bottom w:val="single" w:sz="4" w:space="2" w:color="A3CEED" w:themeColor="accent2" w:themeTint="66"/>
      </w:pBdr>
      <w:spacing w:before="200" w:after="100" w:line="240" w:lineRule="auto"/>
      <w:contextualSpacing/>
      <w:outlineLvl w:val="5"/>
    </w:pPr>
    <w:rPr>
      <w:rFonts w:asciiTheme="majorHAnsi" w:eastAsiaTheme="majorEastAsia" w:hAnsiTheme="majorHAnsi" w:cstheme="majorBidi"/>
      <w:color w:val="1C6194" w:themeColor="accent2" w:themeShade="BF"/>
      <w:sz w:val="22"/>
      <w:szCs w:val="22"/>
    </w:rPr>
  </w:style>
  <w:style w:type="paragraph" w:styleId="Heading7">
    <w:name w:val="heading 7"/>
    <w:basedOn w:val="Normal"/>
    <w:next w:val="Normal"/>
    <w:link w:val="Heading7Char"/>
    <w:uiPriority w:val="9"/>
    <w:semiHidden/>
    <w:unhideWhenUsed/>
    <w:qFormat/>
    <w:rsid w:val="00DB62AA"/>
    <w:pPr>
      <w:pBdr>
        <w:bottom w:val="dotted" w:sz="4" w:space="2" w:color="74B5E4" w:themeColor="accent2" w:themeTint="99"/>
      </w:pBdr>
      <w:spacing w:before="200" w:after="100" w:line="240" w:lineRule="auto"/>
      <w:contextualSpacing/>
      <w:outlineLvl w:val="6"/>
    </w:pPr>
    <w:rPr>
      <w:rFonts w:asciiTheme="majorHAnsi" w:eastAsiaTheme="majorEastAsia" w:hAnsiTheme="majorHAnsi" w:cstheme="majorBidi"/>
      <w:color w:val="1C6194" w:themeColor="accent2" w:themeShade="BF"/>
      <w:sz w:val="22"/>
      <w:szCs w:val="22"/>
    </w:rPr>
  </w:style>
  <w:style w:type="paragraph" w:styleId="Heading8">
    <w:name w:val="heading 8"/>
    <w:basedOn w:val="Normal"/>
    <w:next w:val="Normal"/>
    <w:link w:val="Heading8Char"/>
    <w:uiPriority w:val="9"/>
    <w:semiHidden/>
    <w:unhideWhenUsed/>
    <w:qFormat/>
    <w:rsid w:val="00DB62AA"/>
    <w:pPr>
      <w:spacing w:before="200" w:after="100" w:line="240" w:lineRule="auto"/>
      <w:contextualSpacing/>
      <w:outlineLvl w:val="7"/>
    </w:pPr>
    <w:rPr>
      <w:rFonts w:asciiTheme="majorHAnsi" w:eastAsiaTheme="majorEastAsia" w:hAnsiTheme="majorHAnsi" w:cstheme="majorBidi"/>
      <w:color w:val="2683C6" w:themeColor="accent2"/>
      <w:sz w:val="22"/>
      <w:szCs w:val="22"/>
    </w:rPr>
  </w:style>
  <w:style w:type="paragraph" w:styleId="Heading9">
    <w:name w:val="heading 9"/>
    <w:basedOn w:val="Normal"/>
    <w:next w:val="Normal"/>
    <w:link w:val="Heading9Char"/>
    <w:uiPriority w:val="9"/>
    <w:semiHidden/>
    <w:unhideWhenUsed/>
    <w:qFormat/>
    <w:rsid w:val="00DB62AA"/>
    <w:pPr>
      <w:spacing w:before="200" w:after="100" w:line="240" w:lineRule="auto"/>
      <w:contextualSpacing/>
      <w:outlineLvl w:val="8"/>
    </w:pPr>
    <w:rPr>
      <w:rFonts w:asciiTheme="majorHAnsi" w:eastAsiaTheme="majorEastAsia" w:hAnsiTheme="majorHAnsi" w:cstheme="majorBidi"/>
      <w:color w:val="2683C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62AA"/>
    <w:rPr>
      <w:b/>
      <w:bCs/>
      <w:color w:val="1C6194" w:themeColor="accent2" w:themeShade="BF"/>
      <w:sz w:val="18"/>
      <w:szCs w:val="18"/>
    </w:rPr>
  </w:style>
  <w:style w:type="paragraph" w:styleId="Header">
    <w:name w:val="header"/>
    <w:basedOn w:val="Normal"/>
    <w:link w:val="HeaderChar"/>
    <w:uiPriority w:val="99"/>
    <w:unhideWhenUsed/>
    <w:rsid w:val="009D7AEE"/>
    <w:pPr>
      <w:tabs>
        <w:tab w:val="center" w:pos="4680"/>
        <w:tab w:val="right" w:pos="9360"/>
      </w:tabs>
    </w:pPr>
  </w:style>
  <w:style w:type="character" w:customStyle="1" w:styleId="HeaderChar">
    <w:name w:val="Header Char"/>
    <w:basedOn w:val="DefaultParagraphFont"/>
    <w:link w:val="Header"/>
    <w:uiPriority w:val="99"/>
    <w:rsid w:val="009D7AEE"/>
  </w:style>
  <w:style w:type="paragraph" w:styleId="Footer">
    <w:name w:val="footer"/>
    <w:basedOn w:val="Normal"/>
    <w:link w:val="FooterChar"/>
    <w:uiPriority w:val="99"/>
    <w:unhideWhenUsed/>
    <w:rsid w:val="009D7AEE"/>
    <w:pPr>
      <w:tabs>
        <w:tab w:val="center" w:pos="4680"/>
        <w:tab w:val="right" w:pos="9360"/>
      </w:tabs>
    </w:pPr>
  </w:style>
  <w:style w:type="character" w:customStyle="1" w:styleId="FooterChar">
    <w:name w:val="Footer Char"/>
    <w:basedOn w:val="DefaultParagraphFont"/>
    <w:link w:val="Footer"/>
    <w:uiPriority w:val="99"/>
    <w:rsid w:val="009D7AEE"/>
  </w:style>
  <w:style w:type="paragraph" w:styleId="Title">
    <w:name w:val="Title"/>
    <w:basedOn w:val="Normal"/>
    <w:next w:val="Normal"/>
    <w:link w:val="TitleChar"/>
    <w:uiPriority w:val="10"/>
    <w:qFormat/>
    <w:rsid w:val="00DB62AA"/>
    <w:pPr>
      <w:pBdr>
        <w:top w:val="single" w:sz="48" w:space="0" w:color="2683C6" w:themeColor="accent2"/>
        <w:bottom w:val="single" w:sz="48" w:space="0" w:color="2683C6" w:themeColor="accent2"/>
      </w:pBdr>
      <w:shd w:val="clear" w:color="auto" w:fill="2683C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B62AA"/>
    <w:rPr>
      <w:rFonts w:asciiTheme="majorHAnsi" w:eastAsiaTheme="majorEastAsia" w:hAnsiTheme="majorHAnsi" w:cstheme="majorBidi"/>
      <w:i/>
      <w:iCs/>
      <w:color w:val="FFFFFF" w:themeColor="background1"/>
      <w:spacing w:val="10"/>
      <w:sz w:val="48"/>
      <w:szCs w:val="48"/>
      <w:shd w:val="clear" w:color="auto" w:fill="2683C6" w:themeFill="accent2"/>
    </w:rPr>
  </w:style>
  <w:style w:type="paragraph" w:customStyle="1" w:styleId="Default">
    <w:name w:val="Default"/>
    <w:rsid w:val="001B7706"/>
    <w:pPr>
      <w:autoSpaceDE w:val="0"/>
      <w:autoSpaceDN w:val="0"/>
      <w:adjustRightInd w:val="0"/>
    </w:pPr>
    <w:rPr>
      <w:rFonts w:ascii="Calibri" w:eastAsia="Calibri" w:hAnsi="Calibri" w:cs="Calibri"/>
      <w:color w:val="000000"/>
    </w:rPr>
  </w:style>
  <w:style w:type="paragraph" w:customStyle="1" w:styleId="EndNoteBibliography">
    <w:name w:val="EndNote Bibliography"/>
    <w:basedOn w:val="Normal"/>
    <w:link w:val="EndNoteBibliographyChar"/>
    <w:rsid w:val="001B7706"/>
    <w:pPr>
      <w:shd w:val="clear" w:color="auto" w:fill="FFFFFF"/>
      <w:spacing w:after="120"/>
      <w:jc w:val="both"/>
    </w:pPr>
    <w:rPr>
      <w:rFonts w:ascii="Calibri" w:hAnsi="Calibri" w:cs="Calibri"/>
      <w:noProof/>
      <w:color w:val="000000"/>
    </w:rPr>
  </w:style>
  <w:style w:type="character" w:customStyle="1" w:styleId="EndNoteBibliographyChar">
    <w:name w:val="EndNote Bibliography Char"/>
    <w:basedOn w:val="DefaultParagraphFont"/>
    <w:link w:val="EndNoteBibliography"/>
    <w:rsid w:val="001B7706"/>
    <w:rPr>
      <w:rFonts w:ascii="Calibri" w:hAnsi="Calibri" w:cs="Calibri"/>
      <w:noProof/>
      <w:color w:val="000000"/>
      <w:shd w:val="clear" w:color="auto" w:fill="FFFFFF"/>
    </w:rPr>
  </w:style>
  <w:style w:type="character" w:customStyle="1" w:styleId="Heading1Char">
    <w:name w:val="Heading 1 Char"/>
    <w:basedOn w:val="DefaultParagraphFont"/>
    <w:link w:val="Heading1"/>
    <w:uiPriority w:val="9"/>
    <w:rsid w:val="00DB62AA"/>
    <w:rPr>
      <w:rFonts w:asciiTheme="majorHAnsi" w:eastAsiaTheme="majorEastAsia" w:hAnsiTheme="majorHAnsi" w:cstheme="majorBidi"/>
      <w:b/>
      <w:bCs/>
      <w:i/>
      <w:iCs/>
      <w:color w:val="134162" w:themeColor="accent2" w:themeShade="7F"/>
      <w:shd w:val="clear" w:color="auto" w:fill="D0E6F6" w:themeFill="accent2" w:themeFillTint="33"/>
    </w:rPr>
  </w:style>
  <w:style w:type="character" w:customStyle="1" w:styleId="Heading2Char">
    <w:name w:val="Heading 2 Char"/>
    <w:basedOn w:val="DefaultParagraphFont"/>
    <w:link w:val="Heading2"/>
    <w:uiPriority w:val="9"/>
    <w:semiHidden/>
    <w:rsid w:val="00DB62AA"/>
    <w:rPr>
      <w:rFonts w:asciiTheme="majorHAnsi" w:eastAsiaTheme="majorEastAsia" w:hAnsiTheme="majorHAnsi" w:cstheme="majorBidi"/>
      <w:b/>
      <w:bCs/>
      <w:i/>
      <w:iCs/>
      <w:color w:val="1C6194" w:themeColor="accent2" w:themeShade="BF"/>
    </w:rPr>
  </w:style>
  <w:style w:type="character" w:customStyle="1" w:styleId="Heading3Char">
    <w:name w:val="Heading 3 Char"/>
    <w:basedOn w:val="DefaultParagraphFont"/>
    <w:link w:val="Heading3"/>
    <w:uiPriority w:val="9"/>
    <w:semiHidden/>
    <w:rsid w:val="00DB62AA"/>
    <w:rPr>
      <w:rFonts w:asciiTheme="majorHAnsi" w:eastAsiaTheme="majorEastAsia" w:hAnsiTheme="majorHAnsi" w:cstheme="majorBidi"/>
      <w:b/>
      <w:bCs/>
      <w:i/>
      <w:iCs/>
      <w:color w:val="1C6194" w:themeColor="accent2" w:themeShade="BF"/>
    </w:rPr>
  </w:style>
  <w:style w:type="character" w:customStyle="1" w:styleId="Heading4Char">
    <w:name w:val="Heading 4 Char"/>
    <w:basedOn w:val="DefaultParagraphFont"/>
    <w:link w:val="Heading4"/>
    <w:uiPriority w:val="9"/>
    <w:semiHidden/>
    <w:rsid w:val="00DB62AA"/>
    <w:rPr>
      <w:rFonts w:asciiTheme="majorHAnsi" w:eastAsiaTheme="majorEastAsia" w:hAnsiTheme="majorHAnsi" w:cstheme="majorBidi"/>
      <w:b/>
      <w:bCs/>
      <w:i/>
      <w:iCs/>
      <w:color w:val="1C6194" w:themeColor="accent2" w:themeShade="BF"/>
    </w:rPr>
  </w:style>
  <w:style w:type="character" w:customStyle="1" w:styleId="Heading5Char">
    <w:name w:val="Heading 5 Char"/>
    <w:basedOn w:val="DefaultParagraphFont"/>
    <w:link w:val="Heading5"/>
    <w:uiPriority w:val="9"/>
    <w:semiHidden/>
    <w:rsid w:val="00DB62AA"/>
    <w:rPr>
      <w:rFonts w:asciiTheme="majorHAnsi" w:eastAsiaTheme="majorEastAsia" w:hAnsiTheme="majorHAnsi" w:cstheme="majorBidi"/>
      <w:b/>
      <w:bCs/>
      <w:i/>
      <w:iCs/>
      <w:color w:val="1C6194" w:themeColor="accent2" w:themeShade="BF"/>
    </w:rPr>
  </w:style>
  <w:style w:type="character" w:customStyle="1" w:styleId="Heading6Char">
    <w:name w:val="Heading 6 Char"/>
    <w:basedOn w:val="DefaultParagraphFont"/>
    <w:link w:val="Heading6"/>
    <w:uiPriority w:val="9"/>
    <w:semiHidden/>
    <w:rsid w:val="00DB62AA"/>
    <w:rPr>
      <w:rFonts w:asciiTheme="majorHAnsi" w:eastAsiaTheme="majorEastAsia" w:hAnsiTheme="majorHAnsi" w:cstheme="majorBidi"/>
      <w:i/>
      <w:iCs/>
      <w:color w:val="1C6194" w:themeColor="accent2" w:themeShade="BF"/>
    </w:rPr>
  </w:style>
  <w:style w:type="character" w:customStyle="1" w:styleId="Heading7Char">
    <w:name w:val="Heading 7 Char"/>
    <w:basedOn w:val="DefaultParagraphFont"/>
    <w:link w:val="Heading7"/>
    <w:uiPriority w:val="9"/>
    <w:semiHidden/>
    <w:rsid w:val="00DB62AA"/>
    <w:rPr>
      <w:rFonts w:asciiTheme="majorHAnsi" w:eastAsiaTheme="majorEastAsia" w:hAnsiTheme="majorHAnsi" w:cstheme="majorBidi"/>
      <w:i/>
      <w:iCs/>
      <w:color w:val="1C6194" w:themeColor="accent2" w:themeShade="BF"/>
    </w:rPr>
  </w:style>
  <w:style w:type="character" w:customStyle="1" w:styleId="Heading8Char">
    <w:name w:val="Heading 8 Char"/>
    <w:basedOn w:val="DefaultParagraphFont"/>
    <w:link w:val="Heading8"/>
    <w:uiPriority w:val="9"/>
    <w:semiHidden/>
    <w:rsid w:val="00DB62AA"/>
    <w:rPr>
      <w:rFonts w:asciiTheme="majorHAnsi" w:eastAsiaTheme="majorEastAsia" w:hAnsiTheme="majorHAnsi" w:cstheme="majorBidi"/>
      <w:i/>
      <w:iCs/>
      <w:color w:val="2683C6" w:themeColor="accent2"/>
    </w:rPr>
  </w:style>
  <w:style w:type="character" w:customStyle="1" w:styleId="Heading9Char">
    <w:name w:val="Heading 9 Char"/>
    <w:basedOn w:val="DefaultParagraphFont"/>
    <w:link w:val="Heading9"/>
    <w:uiPriority w:val="9"/>
    <w:semiHidden/>
    <w:rsid w:val="00DB62AA"/>
    <w:rPr>
      <w:rFonts w:asciiTheme="majorHAnsi" w:eastAsiaTheme="majorEastAsia" w:hAnsiTheme="majorHAnsi" w:cstheme="majorBidi"/>
      <w:i/>
      <w:iCs/>
      <w:color w:val="2683C6" w:themeColor="accent2"/>
      <w:sz w:val="20"/>
      <w:szCs w:val="20"/>
    </w:rPr>
  </w:style>
  <w:style w:type="paragraph" w:styleId="Subtitle">
    <w:name w:val="Subtitle"/>
    <w:basedOn w:val="Normal"/>
    <w:next w:val="Normal"/>
    <w:link w:val="SubtitleChar"/>
    <w:uiPriority w:val="11"/>
    <w:qFormat/>
    <w:rsid w:val="00DB62AA"/>
    <w:pPr>
      <w:pBdr>
        <w:bottom w:val="dotted" w:sz="8" w:space="10" w:color="2683C6" w:themeColor="accent2"/>
      </w:pBdr>
      <w:spacing w:before="200" w:after="900" w:line="240" w:lineRule="auto"/>
      <w:jc w:val="center"/>
    </w:pPr>
    <w:rPr>
      <w:rFonts w:asciiTheme="majorHAnsi" w:eastAsiaTheme="majorEastAsia" w:hAnsiTheme="majorHAnsi" w:cstheme="majorBidi"/>
      <w:color w:val="134162" w:themeColor="accent2" w:themeShade="7F"/>
      <w:sz w:val="24"/>
      <w:szCs w:val="24"/>
    </w:rPr>
  </w:style>
  <w:style w:type="character" w:customStyle="1" w:styleId="SubtitleChar">
    <w:name w:val="Subtitle Char"/>
    <w:basedOn w:val="DefaultParagraphFont"/>
    <w:link w:val="Subtitle"/>
    <w:uiPriority w:val="11"/>
    <w:rsid w:val="00DB62AA"/>
    <w:rPr>
      <w:rFonts w:asciiTheme="majorHAnsi" w:eastAsiaTheme="majorEastAsia" w:hAnsiTheme="majorHAnsi" w:cstheme="majorBidi"/>
      <w:i/>
      <w:iCs/>
      <w:color w:val="134162" w:themeColor="accent2" w:themeShade="7F"/>
      <w:sz w:val="24"/>
      <w:szCs w:val="24"/>
    </w:rPr>
  </w:style>
  <w:style w:type="character" w:styleId="Strong">
    <w:name w:val="Strong"/>
    <w:uiPriority w:val="22"/>
    <w:qFormat/>
    <w:rsid w:val="00DB62AA"/>
    <w:rPr>
      <w:b/>
      <w:bCs/>
      <w:spacing w:val="0"/>
    </w:rPr>
  </w:style>
  <w:style w:type="character" w:styleId="Emphasis">
    <w:name w:val="Emphasis"/>
    <w:uiPriority w:val="20"/>
    <w:qFormat/>
    <w:rsid w:val="00DB62AA"/>
    <w:rPr>
      <w:rFonts w:asciiTheme="majorHAnsi" w:eastAsiaTheme="majorEastAsia" w:hAnsiTheme="majorHAnsi" w:cstheme="majorBidi"/>
      <w:b/>
      <w:bCs/>
      <w:i/>
      <w:iCs/>
      <w:color w:val="2683C6" w:themeColor="accent2"/>
      <w:bdr w:val="single" w:sz="18" w:space="0" w:color="D0E6F6" w:themeColor="accent2" w:themeTint="33"/>
      <w:shd w:val="clear" w:color="auto" w:fill="D0E6F6" w:themeFill="accent2" w:themeFillTint="33"/>
    </w:rPr>
  </w:style>
  <w:style w:type="paragraph" w:styleId="NoSpacing">
    <w:name w:val="No Spacing"/>
    <w:basedOn w:val="Normal"/>
    <w:link w:val="NoSpacingChar"/>
    <w:uiPriority w:val="1"/>
    <w:qFormat/>
    <w:rsid w:val="00DB62AA"/>
    <w:pPr>
      <w:spacing w:after="0" w:line="240" w:lineRule="auto"/>
    </w:pPr>
  </w:style>
  <w:style w:type="paragraph" w:styleId="ListParagraph">
    <w:name w:val="List Paragraph"/>
    <w:basedOn w:val="Normal"/>
    <w:uiPriority w:val="34"/>
    <w:qFormat/>
    <w:rsid w:val="00DB62AA"/>
    <w:pPr>
      <w:ind w:left="720"/>
      <w:contextualSpacing/>
    </w:pPr>
  </w:style>
  <w:style w:type="paragraph" w:styleId="Quote">
    <w:name w:val="Quote"/>
    <w:basedOn w:val="Normal"/>
    <w:next w:val="Normal"/>
    <w:link w:val="QuoteChar"/>
    <w:uiPriority w:val="29"/>
    <w:qFormat/>
    <w:rsid w:val="00DB62AA"/>
    <w:rPr>
      <w:i w:val="0"/>
      <w:iCs w:val="0"/>
      <w:color w:val="1C6194" w:themeColor="accent2" w:themeShade="BF"/>
    </w:rPr>
  </w:style>
  <w:style w:type="character" w:customStyle="1" w:styleId="QuoteChar">
    <w:name w:val="Quote Char"/>
    <w:basedOn w:val="DefaultParagraphFont"/>
    <w:link w:val="Quote"/>
    <w:uiPriority w:val="29"/>
    <w:rsid w:val="00DB62AA"/>
    <w:rPr>
      <w:color w:val="1C6194" w:themeColor="accent2" w:themeShade="BF"/>
      <w:sz w:val="20"/>
      <w:szCs w:val="20"/>
    </w:rPr>
  </w:style>
  <w:style w:type="paragraph" w:styleId="IntenseQuote">
    <w:name w:val="Intense Quote"/>
    <w:basedOn w:val="Normal"/>
    <w:next w:val="Normal"/>
    <w:link w:val="IntenseQuoteChar"/>
    <w:uiPriority w:val="30"/>
    <w:qFormat/>
    <w:rsid w:val="00DB62AA"/>
    <w:pPr>
      <w:pBdr>
        <w:top w:val="dotted" w:sz="8" w:space="10" w:color="2683C6" w:themeColor="accent2"/>
        <w:bottom w:val="dotted" w:sz="8" w:space="10" w:color="2683C6" w:themeColor="accent2"/>
      </w:pBdr>
      <w:spacing w:line="300" w:lineRule="auto"/>
      <w:ind w:left="2160" w:right="2160"/>
      <w:jc w:val="center"/>
    </w:pPr>
    <w:rPr>
      <w:rFonts w:asciiTheme="majorHAnsi" w:eastAsiaTheme="majorEastAsia" w:hAnsiTheme="majorHAnsi" w:cstheme="majorBidi"/>
      <w:b/>
      <w:bCs/>
      <w:color w:val="2683C6" w:themeColor="accent2"/>
    </w:rPr>
  </w:style>
  <w:style w:type="character" w:customStyle="1" w:styleId="IntenseQuoteChar">
    <w:name w:val="Intense Quote Char"/>
    <w:basedOn w:val="DefaultParagraphFont"/>
    <w:link w:val="IntenseQuote"/>
    <w:uiPriority w:val="30"/>
    <w:rsid w:val="00DB62AA"/>
    <w:rPr>
      <w:rFonts w:asciiTheme="majorHAnsi" w:eastAsiaTheme="majorEastAsia" w:hAnsiTheme="majorHAnsi" w:cstheme="majorBidi"/>
      <w:b/>
      <w:bCs/>
      <w:i/>
      <w:iCs/>
      <w:color w:val="2683C6" w:themeColor="accent2"/>
      <w:sz w:val="20"/>
      <w:szCs w:val="20"/>
    </w:rPr>
  </w:style>
  <w:style w:type="character" w:styleId="SubtleEmphasis">
    <w:name w:val="Subtle Emphasis"/>
    <w:uiPriority w:val="19"/>
    <w:qFormat/>
    <w:rsid w:val="00DB62AA"/>
    <w:rPr>
      <w:rFonts w:asciiTheme="majorHAnsi" w:eastAsiaTheme="majorEastAsia" w:hAnsiTheme="majorHAnsi" w:cstheme="majorBidi"/>
      <w:i/>
      <w:iCs/>
      <w:color w:val="2683C6" w:themeColor="accent2"/>
    </w:rPr>
  </w:style>
  <w:style w:type="character" w:styleId="IntenseEmphasis">
    <w:name w:val="Intense Emphasis"/>
    <w:uiPriority w:val="21"/>
    <w:qFormat/>
    <w:rsid w:val="00DB62AA"/>
    <w:rPr>
      <w:rFonts w:asciiTheme="majorHAnsi" w:eastAsiaTheme="majorEastAsia" w:hAnsiTheme="majorHAnsi" w:cstheme="majorBidi"/>
      <w:b/>
      <w:bCs/>
      <w:i/>
      <w:iCs/>
      <w:dstrike w:val="0"/>
      <w:color w:val="FFFFFF" w:themeColor="background1"/>
      <w:bdr w:val="single" w:sz="18" w:space="0" w:color="2683C6" w:themeColor="accent2"/>
      <w:shd w:val="clear" w:color="auto" w:fill="2683C6" w:themeFill="accent2"/>
      <w:vertAlign w:val="baseline"/>
    </w:rPr>
  </w:style>
  <w:style w:type="character" w:styleId="SubtleReference">
    <w:name w:val="Subtle Reference"/>
    <w:uiPriority w:val="31"/>
    <w:qFormat/>
    <w:rsid w:val="00DB62AA"/>
    <w:rPr>
      <w:i/>
      <w:iCs/>
      <w:smallCaps/>
      <w:color w:val="2683C6" w:themeColor="accent2"/>
      <w:u w:color="2683C6" w:themeColor="accent2"/>
    </w:rPr>
  </w:style>
  <w:style w:type="character" w:styleId="IntenseReference">
    <w:name w:val="Intense Reference"/>
    <w:uiPriority w:val="32"/>
    <w:qFormat/>
    <w:rsid w:val="00DB62AA"/>
    <w:rPr>
      <w:b/>
      <w:bCs/>
      <w:i/>
      <w:iCs/>
      <w:smallCaps/>
      <w:color w:val="2683C6" w:themeColor="accent2"/>
      <w:u w:color="2683C6" w:themeColor="accent2"/>
    </w:rPr>
  </w:style>
  <w:style w:type="character" w:styleId="BookTitle">
    <w:name w:val="Book Title"/>
    <w:uiPriority w:val="33"/>
    <w:qFormat/>
    <w:rsid w:val="00DB62AA"/>
    <w:rPr>
      <w:rFonts w:asciiTheme="majorHAnsi" w:eastAsiaTheme="majorEastAsia" w:hAnsiTheme="majorHAnsi" w:cstheme="majorBidi"/>
      <w:b/>
      <w:bCs/>
      <w:i/>
      <w:iCs/>
      <w:smallCaps/>
      <w:color w:val="1C6194" w:themeColor="accent2" w:themeShade="BF"/>
      <w:u w:val="single"/>
    </w:rPr>
  </w:style>
  <w:style w:type="paragraph" w:styleId="TOCHeading">
    <w:name w:val="TOC Heading"/>
    <w:basedOn w:val="Heading1"/>
    <w:next w:val="Normal"/>
    <w:uiPriority w:val="39"/>
    <w:semiHidden/>
    <w:unhideWhenUsed/>
    <w:qFormat/>
    <w:rsid w:val="00DB62AA"/>
    <w:pPr>
      <w:outlineLvl w:val="9"/>
    </w:pPr>
  </w:style>
  <w:style w:type="paragraph" w:customStyle="1" w:styleId="PersonalName">
    <w:name w:val="Personal Name"/>
    <w:basedOn w:val="Title"/>
    <w:rsid w:val="00A55C77"/>
    <w:rPr>
      <w:b/>
      <w:caps/>
      <w:color w:val="000000"/>
      <w:sz w:val="28"/>
      <w:szCs w:val="28"/>
    </w:rPr>
  </w:style>
  <w:style w:type="character" w:customStyle="1" w:styleId="NoSpacingChar">
    <w:name w:val="No Spacing Char"/>
    <w:basedOn w:val="DefaultParagraphFont"/>
    <w:link w:val="NoSpacing"/>
    <w:uiPriority w:val="1"/>
    <w:rsid w:val="00DB62AA"/>
    <w:rPr>
      <w:i/>
      <w:iCs/>
      <w:sz w:val="20"/>
      <w:szCs w:val="20"/>
    </w:rPr>
  </w:style>
  <w:style w:type="character" w:styleId="Hyperlink">
    <w:name w:val="Hyperlink"/>
    <w:basedOn w:val="DefaultParagraphFont"/>
    <w:uiPriority w:val="99"/>
    <w:unhideWhenUsed/>
    <w:rsid w:val="00384827"/>
    <w:rPr>
      <w:color w:val="F49100" w:themeColor="hyperlink"/>
      <w:u w:val="single"/>
    </w:rPr>
  </w:style>
  <w:style w:type="character" w:styleId="UnresolvedMention">
    <w:name w:val="Unresolved Mention"/>
    <w:basedOn w:val="DefaultParagraphFont"/>
    <w:uiPriority w:val="99"/>
    <w:semiHidden/>
    <w:unhideWhenUsed/>
    <w:rsid w:val="00384827"/>
    <w:rPr>
      <w:color w:val="605E5C"/>
      <w:shd w:val="clear" w:color="auto" w:fill="E1DFDD"/>
    </w:rPr>
  </w:style>
  <w:style w:type="paragraph" w:styleId="NormalWeb">
    <w:name w:val="Normal (Web)"/>
    <w:basedOn w:val="Normal"/>
    <w:uiPriority w:val="99"/>
    <w:semiHidden/>
    <w:unhideWhenUsed/>
    <w:rsid w:val="00DB62AA"/>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7D1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09433">
      <w:bodyDiv w:val="1"/>
      <w:marLeft w:val="0"/>
      <w:marRight w:val="0"/>
      <w:marTop w:val="0"/>
      <w:marBottom w:val="0"/>
      <w:divBdr>
        <w:top w:val="none" w:sz="0" w:space="0" w:color="auto"/>
        <w:left w:val="none" w:sz="0" w:space="0" w:color="auto"/>
        <w:bottom w:val="none" w:sz="0" w:space="0" w:color="auto"/>
        <w:right w:val="none" w:sz="0" w:space="0" w:color="auto"/>
      </w:divBdr>
    </w:div>
    <w:div w:id="755984184">
      <w:bodyDiv w:val="1"/>
      <w:marLeft w:val="0"/>
      <w:marRight w:val="0"/>
      <w:marTop w:val="0"/>
      <w:marBottom w:val="0"/>
      <w:divBdr>
        <w:top w:val="none" w:sz="0" w:space="0" w:color="auto"/>
        <w:left w:val="none" w:sz="0" w:space="0" w:color="auto"/>
        <w:bottom w:val="none" w:sz="0" w:space="0" w:color="auto"/>
        <w:right w:val="none" w:sz="0" w:space="0" w:color="auto"/>
      </w:divBdr>
    </w:div>
    <w:div w:id="1045177208">
      <w:bodyDiv w:val="1"/>
      <w:marLeft w:val="0"/>
      <w:marRight w:val="0"/>
      <w:marTop w:val="0"/>
      <w:marBottom w:val="0"/>
      <w:divBdr>
        <w:top w:val="none" w:sz="0" w:space="0" w:color="auto"/>
        <w:left w:val="none" w:sz="0" w:space="0" w:color="auto"/>
        <w:bottom w:val="none" w:sz="0" w:space="0" w:color="auto"/>
        <w:right w:val="none" w:sz="0" w:space="0" w:color="auto"/>
      </w:divBdr>
    </w:div>
    <w:div w:id="117711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customXml" Target="../customXml/item2.xml"/><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AA1768C6E7614294466E473A722175" ma:contentTypeVersion="0" ma:contentTypeDescription="Create a new document." ma:contentTypeScope="" ma:versionID="acb18b72ddc3f42e06a2cc8f860ed64a">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211380-7409-4585-941A-561B90D186A4}"/>
</file>

<file path=customXml/itemProps2.xml><?xml version="1.0" encoding="utf-8"?>
<ds:datastoreItem xmlns:ds="http://schemas.openxmlformats.org/officeDocument/2006/customXml" ds:itemID="{B4928029-267B-4944-809B-AAF734C0A30A}"/>
</file>

<file path=customXml/itemProps3.xml><?xml version="1.0" encoding="utf-8"?>
<ds:datastoreItem xmlns:ds="http://schemas.openxmlformats.org/officeDocument/2006/customXml" ds:itemID="{A5100CC5-3378-4FEE-AA5D-417902BB87D0}"/>
</file>

<file path=docProps/app.xml><?xml version="1.0" encoding="utf-8"?>
<Properties xmlns="http://schemas.openxmlformats.org/officeDocument/2006/extended-properties" xmlns:vt="http://schemas.openxmlformats.org/officeDocument/2006/docPropsVTypes">
  <Template>Normal.dotm</Template>
  <TotalTime>9755</TotalTime>
  <Pages>14</Pages>
  <Words>2815</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124</cp:revision>
  <dcterms:created xsi:type="dcterms:W3CDTF">2021-12-17T06:24:00Z</dcterms:created>
  <dcterms:modified xsi:type="dcterms:W3CDTF">2022-01-17T15:03:00Z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0x010100A9AA1768C6E7614294466E473A722175</vt:lpwstr>
  </property>
</Properties>
</file>